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国有资产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val="en-US" w:eastAsia="zh-CN"/>
        </w:rPr>
        <w:t>管理办法培训</w:t>
      </w:r>
    </w:p>
    <w:p>
      <w:pPr>
        <w:jc w:val="center"/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val="en-US" w:eastAsia="zh-CN"/>
        </w:rPr>
        <w:t>暨项目实施推进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工作会议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  <w:lang w:val="en-US" w:eastAsia="zh-CN"/>
        </w:rPr>
        <w:t>简报</w:t>
      </w:r>
    </w:p>
    <w:p>
      <w:pPr>
        <w:ind w:firstLine="640" w:firstLineChars="200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default" w:ascii="仿宋" w:hAnsi="仿宋" w:eastAsia="仿宋"/>
          <w:color w:val="00000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为进一步规范国有资产管理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国有资产采购工作，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推动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资产管理科学化、规范化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，建立健全适合我院工作实际和需要的国有资产管理体系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整体提高我院资产管理水平，加快推进项目实施进度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。结合工作实际，开展本次国有资产管理办法培训及项目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推进工作会议，我处于</w:t>
      </w:r>
      <w:r>
        <w:rPr>
          <w:rFonts w:ascii="Times New Roman" w:hAnsi="Times New Roman" w:eastAsia="微软雅黑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微软雅黑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/>
          <w:color w:val="000000"/>
          <w:sz w:val="32"/>
          <w:szCs w:val="32"/>
        </w:rPr>
        <w:t>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14：00--17：00在湖滨会议中心第三会议室组织学院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各部门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各二级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学院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部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进行了相关业务的培训，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相关负责人及工作人员参加了培训。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default" w:ascii="微软雅黑" w:hAnsi="微软雅黑" w:eastAsia="仿宋"/>
          <w:color w:val="2A2F35"/>
          <w:lang w:val="en-US" w:eastAsia="zh-CN"/>
        </w:rPr>
      </w:pP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3312160"/>
            <wp:effectExtent l="0" t="0" r="4445" b="2540"/>
            <wp:docPr id="3" name="图片 3" descr="QQ图片20211217102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112171023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555B2"/>
    <w:rsid w:val="19DA642A"/>
    <w:rsid w:val="55A5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2021-12-17T02:15:00Z</dcterms:created>
  <dc:creator>Administrator</dc:creator>
  <cp:lastModifiedBy>Administrator</cp:lastModifiedBy>
  <cp:lastPrinted>2021-12-17T02:42:20Z</cp:lastPrinted>
  <dcterms:modified xsi:type="dcterms:W3CDTF">2021-12-17T02:42:24Z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CBE1119CC0024E41A0440AE604CD1030</vt:lpwstr>
  </property>
</Properties>
</file>