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方正小标宋简体" w:eastAsia="方正小标宋简体" w:cs="方正小标宋简体"/>
          <w:b/>
          <w:bCs w:val="0"/>
          <w:sz w:val="44"/>
          <w:szCs w:val="44"/>
        </w:rPr>
      </w:pPr>
    </w:p>
    <w:p>
      <w:pPr>
        <w:spacing w:line="54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关于举办</w:t>
      </w:r>
      <w:r>
        <w:rPr>
          <w:rFonts w:hint="eastAsia" w:ascii="方正小标宋_GBK" w:hAnsi="方正小标宋_GBK" w:eastAsia="方正小标宋_GBK" w:cs="方正小标宋_GBK"/>
          <w:b/>
          <w:sz w:val="44"/>
          <w:szCs w:val="44"/>
        </w:rPr>
        <w:t>“第</w:t>
      </w:r>
      <w:r>
        <w:rPr>
          <w:rFonts w:hint="eastAsia" w:ascii="方正小标宋_GBK" w:hAnsi="方正小标宋_GBK" w:eastAsia="方正小标宋_GBK" w:cs="方正小标宋_GBK"/>
          <w:b/>
          <w:sz w:val="44"/>
          <w:szCs w:val="44"/>
          <w:lang w:val="en-US" w:eastAsia="zh-CN"/>
        </w:rPr>
        <w:t>十</w:t>
      </w:r>
      <w:r>
        <w:rPr>
          <w:rFonts w:hint="eastAsia" w:ascii="方正小标宋_GBK" w:hAnsi="方正小标宋_GBK" w:eastAsia="方正小标宋_GBK" w:cs="方正小标宋_GBK"/>
          <w:b/>
          <w:sz w:val="44"/>
          <w:szCs w:val="44"/>
        </w:rPr>
        <w:t>届贵州高校统计信息可视化大赛”</w:t>
      </w:r>
      <w:r>
        <w:rPr>
          <w:rFonts w:hint="eastAsia" w:ascii="方正小标宋简体" w:hAnsi="宋体" w:eastAsia="方正小标宋简体" w:cs="宋体"/>
          <w:sz w:val="44"/>
          <w:szCs w:val="44"/>
          <w:lang w:val="en-US" w:eastAsia="zh-CN"/>
        </w:rPr>
        <w:t>贵州商学院校赛</w:t>
      </w:r>
      <w:r>
        <w:rPr>
          <w:rFonts w:hint="eastAsia" w:ascii="方正小标宋_GBK" w:hAnsi="方正小标宋_GBK" w:eastAsia="方正小标宋_GBK" w:cs="方正小标宋_GBK"/>
          <w:b/>
          <w:sz w:val="44"/>
          <w:szCs w:val="44"/>
        </w:rPr>
        <w:t>的工作方案</w:t>
      </w:r>
    </w:p>
    <w:p>
      <w:pPr>
        <w:spacing w:line="540" w:lineRule="exact"/>
        <w:rPr>
          <w:rFonts w:ascii="仿宋_GB2312" w:hAnsi="仿宋_GB2312" w:eastAsia="仿宋_GB2312" w:cs="仿宋_GB2312"/>
          <w:sz w:val="32"/>
          <w:szCs w:val="32"/>
        </w:rPr>
      </w:pPr>
    </w:p>
    <w:p>
      <w:pPr>
        <w:spacing w:line="540" w:lineRule="exact"/>
        <w:rPr>
          <w:rFonts w:hint="eastAsia" w:ascii="仿宋_GB2312" w:hAnsi="Arial" w:eastAsia="仿宋_GB2312" w:cs="Arial"/>
          <w:color w:val="000000"/>
          <w:kern w:val="2"/>
          <w:sz w:val="32"/>
          <w:szCs w:val="32"/>
        </w:rPr>
      </w:pPr>
      <w:r>
        <w:rPr>
          <w:rFonts w:hint="eastAsia" w:ascii="仿宋_GB2312" w:hAnsi="仿宋_GB2312" w:eastAsia="仿宋_GB2312" w:cs="仿宋_GB2312"/>
          <w:sz w:val="32"/>
          <w:szCs w:val="32"/>
          <w:lang w:val="en-US" w:eastAsia="zh-CN"/>
        </w:rPr>
        <w:t>各二级学院</w:t>
      </w:r>
      <w:r>
        <w:rPr>
          <w:rFonts w:hint="eastAsia" w:ascii="仿宋_GB2312" w:hAnsi="仿宋_GB2312" w:eastAsia="仿宋_GB2312" w:cs="仿宋_GB2312"/>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640"/>
        <w:rPr>
          <w:rFonts w:hint="eastAsia" w:ascii="仿宋_GB2312" w:eastAsia="仿宋_GB2312"/>
          <w:sz w:val="32"/>
          <w:szCs w:val="32"/>
          <w:lang w:eastAsia="zh-CN"/>
        </w:rPr>
      </w:pPr>
      <w:r>
        <w:rPr>
          <w:rFonts w:hint="eastAsia" w:ascii="仿宋_GB2312" w:hAnsi="Arial" w:eastAsia="仿宋_GB2312" w:cs="Arial"/>
          <w:color w:val="000000"/>
          <w:kern w:val="2"/>
          <w:sz w:val="32"/>
          <w:szCs w:val="32"/>
        </w:rPr>
        <w:t>为在全省高校普及大数据统计知识，探索研究统计数据获取、分析和运用等现代统计技术，提升高校学生社会实践能力，加大培养和发现可视化人才力度，在</w:t>
      </w:r>
      <w:r>
        <w:rPr>
          <w:rFonts w:hint="eastAsia" w:ascii="仿宋_GB2312" w:hAnsi="Arial" w:eastAsia="仿宋_GB2312" w:cs="Arial"/>
          <w:color w:val="000000"/>
          <w:sz w:val="32"/>
          <w:szCs w:val="32"/>
        </w:rPr>
        <w:t>总结往届成功举办</w:t>
      </w:r>
      <w:r>
        <w:rPr>
          <w:rFonts w:hint="eastAsia" w:ascii="仿宋_GB2312" w:hAnsi="Arial" w:eastAsia="仿宋_GB2312" w:cs="Arial"/>
          <w:color w:val="000000"/>
          <w:sz w:val="32"/>
          <w:szCs w:val="32"/>
          <w:lang w:eastAsia="zh-CN"/>
        </w:rPr>
        <w:t>贵州省统计</w:t>
      </w:r>
      <w:r>
        <w:rPr>
          <w:rFonts w:hint="eastAsia" w:ascii="仿宋_GB2312" w:hAnsi="Arial" w:eastAsia="仿宋_GB2312" w:cs="Arial"/>
          <w:color w:val="000000"/>
          <w:sz w:val="32"/>
          <w:szCs w:val="32"/>
        </w:rPr>
        <w:t>信息可视化大赛基础上，</w:t>
      </w:r>
      <w:r>
        <w:rPr>
          <w:rFonts w:hint="eastAsia" w:ascii="仿宋_GB2312" w:hAnsi="Arial" w:eastAsia="仿宋_GB2312" w:cs="Arial"/>
          <w:color w:val="000000"/>
          <w:sz w:val="32"/>
          <w:szCs w:val="32"/>
          <w:lang w:eastAsia="zh-CN"/>
        </w:rPr>
        <w:t>贵州省统计</w:t>
      </w:r>
      <w:r>
        <w:rPr>
          <w:rFonts w:hint="eastAsia" w:ascii="仿宋_GB2312" w:hAnsi="Arial" w:eastAsia="仿宋_GB2312" w:cs="Arial"/>
          <w:color w:val="000000"/>
          <w:sz w:val="32"/>
          <w:szCs w:val="32"/>
        </w:rPr>
        <w:t>信息可视化大赛组委会</w:t>
      </w:r>
      <w:r>
        <w:rPr>
          <w:rFonts w:hint="eastAsia" w:ascii="仿宋_GB2312" w:eastAsia="仿宋_GB2312"/>
          <w:sz w:val="32"/>
          <w:szCs w:val="32"/>
        </w:rPr>
        <w:t>拟举办第</w:t>
      </w:r>
      <w:r>
        <w:rPr>
          <w:rFonts w:hint="eastAsia" w:ascii="仿宋_GB2312" w:eastAsia="仿宋_GB2312"/>
          <w:sz w:val="32"/>
          <w:szCs w:val="32"/>
          <w:lang w:val="en-US" w:eastAsia="zh-CN"/>
        </w:rPr>
        <w:t>十</w:t>
      </w:r>
      <w:r>
        <w:rPr>
          <w:rFonts w:hint="eastAsia" w:ascii="仿宋_GB2312" w:eastAsia="仿宋_GB2312"/>
          <w:sz w:val="32"/>
          <w:szCs w:val="32"/>
        </w:rPr>
        <w:t>届</w:t>
      </w:r>
      <w:r>
        <w:rPr>
          <w:rFonts w:hint="eastAsia" w:ascii="仿宋_GB2312" w:eastAsia="仿宋_GB2312"/>
          <w:sz w:val="32"/>
          <w:szCs w:val="32"/>
          <w:lang w:eastAsia="zh-CN"/>
        </w:rPr>
        <w:t>贵州省统计</w:t>
      </w:r>
      <w:r>
        <w:rPr>
          <w:rFonts w:hint="eastAsia" w:ascii="仿宋_GB2312" w:eastAsia="仿宋_GB2312"/>
          <w:sz w:val="32"/>
          <w:szCs w:val="32"/>
        </w:rPr>
        <w:t>信息可视化大赛。</w:t>
      </w:r>
      <w:r>
        <w:rPr>
          <w:rFonts w:hint="eastAsia" w:ascii="仿宋_GB2312" w:hAnsi="Arial" w:eastAsia="仿宋_GB2312" w:cs="Arial"/>
          <w:color w:val="000000"/>
          <w:sz w:val="32"/>
          <w:szCs w:val="32"/>
        </w:rPr>
        <w:t>通过比赛鼓励高校学生运用统计知</w:t>
      </w:r>
      <w:r>
        <w:rPr>
          <w:rFonts w:hint="eastAsia" w:ascii="仿宋_GB2312" w:eastAsia="仿宋_GB2312"/>
          <w:sz w:val="32"/>
          <w:szCs w:val="32"/>
        </w:rPr>
        <w:t>识和可视化手段，宣扬党的辉煌成就，引领广大青少年牢记时代责任，坚定跟党走、建功新时代，让红色基因、革命薪火代代相传，让更多学生在社会实践中学习党史，以赛促学、以赛促教、以赛促宣</w:t>
      </w:r>
      <w:r>
        <w:rPr>
          <w:rFonts w:hint="eastAsia" w:ascii="仿宋_GB2312" w:eastAsia="仿宋_GB2312"/>
          <w:sz w:val="32"/>
          <w:szCs w:val="32"/>
          <w:lang w:eastAsia="zh-CN"/>
        </w:rPr>
        <w:t>，</w:t>
      </w:r>
      <w:r>
        <w:rPr>
          <w:rFonts w:hint="eastAsia" w:ascii="仿宋_GB2312" w:hAnsi="仿宋_GB2312" w:eastAsia="仿宋_GB2312" w:cs="仿宋_GB2312"/>
          <w:sz w:val="32"/>
          <w:szCs w:val="32"/>
        </w:rPr>
        <w:t>现将有关事项通知如下：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left"/>
        <w:rPr>
          <w:rFonts w:ascii="黑体" w:hAnsi="黑体" w:eastAsia="黑体" w:cs="黑体"/>
          <w:color w:val="000000"/>
          <w:sz w:val="32"/>
          <w:szCs w:val="32"/>
        </w:rPr>
      </w:pPr>
      <w:r>
        <w:rPr>
          <w:rFonts w:hint="eastAsia" w:ascii="黑体" w:hAnsi="黑体" w:eastAsia="黑体" w:cs="黑体"/>
          <w:color w:val="000000"/>
          <w:sz w:val="32"/>
          <w:szCs w:val="32"/>
        </w:rPr>
        <w:t>一、大赛主题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聚焦新质生产力，推进贵州高质量发展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二、组织机构</w:t>
      </w:r>
    </w:p>
    <w:p>
      <w:pPr>
        <w:pStyle w:val="10"/>
        <w:spacing w:before="156" w:beforeLines="50" w:after="156" w:afterLines="5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届贵州高校统计信息可视化大赛活动主办单位为贵州省统计局、贵州省教育厅、贵州财经大学，由贵州省统计科研教育中心、部省共办大数据统计学院承办，大数据统计分析重点实验室、贵州绿色发展战略高端智库、贵州黔兴高校智库联盟、贵州财经大学中国西部绿色发展战略研究院协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校级初赛</w:t>
      </w:r>
      <w:r>
        <w:rPr>
          <w:rFonts w:hint="eastAsia" w:ascii="仿宋_GB2312" w:hAnsi="仿宋_GB2312" w:eastAsia="仿宋_GB2312" w:cs="仿宋_GB2312"/>
          <w:color w:val="000000"/>
          <w:sz w:val="32"/>
          <w:szCs w:val="32"/>
        </w:rPr>
        <w:t>由贵州商学院管理学院组织。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left"/>
        <w:rPr>
          <w:rFonts w:ascii="黑体" w:hAnsi="黑体" w:eastAsia="黑体" w:cs="黑体"/>
          <w:color w:val="000000"/>
          <w:sz w:val="32"/>
          <w:szCs w:val="32"/>
        </w:rPr>
      </w:pPr>
      <w:r>
        <w:rPr>
          <w:rFonts w:hint="eastAsia" w:ascii="黑体" w:hAnsi="黑体" w:eastAsia="黑体" w:cs="黑体"/>
          <w:color w:val="000000"/>
          <w:sz w:val="32"/>
          <w:szCs w:val="32"/>
        </w:rPr>
        <w:t>三、参赛对象</w:t>
      </w:r>
    </w:p>
    <w:p>
      <w:pPr>
        <w:tabs>
          <w:tab w:val="left" w:pos="3135"/>
        </w:tabs>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贵州商学院全日制在校学生。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left"/>
        <w:rPr>
          <w:rFonts w:ascii="黑体" w:hAnsi="黑体" w:eastAsia="黑体" w:cs="黑体"/>
          <w:color w:val="000000"/>
          <w:sz w:val="32"/>
          <w:szCs w:val="32"/>
        </w:rPr>
      </w:pPr>
      <w:r>
        <w:rPr>
          <w:rFonts w:hint="eastAsia" w:ascii="黑体" w:hAnsi="黑体" w:eastAsia="黑体" w:cs="黑体"/>
          <w:color w:val="000000"/>
          <w:sz w:val="32"/>
          <w:szCs w:val="32"/>
        </w:rPr>
        <w:t>四、参赛内容</w:t>
      </w:r>
    </w:p>
    <w:p>
      <w:pPr>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(一)作品内容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围绕“聚焦新质生产力，推进贵州高质量发展”主题，参赛作品应聚焦贵州省在经济、社会、生态等方面的高质量发展需求，结合统计信息与数据可视化手段，展现推动区域创新、经济转型及生态保护等领域的成就和潜力，凸显大数据在高质量发展中的价值和应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作品需着重展示贵州在</w:t>
      </w:r>
      <w:r>
        <w:rPr>
          <w:rFonts w:ascii="Times New Roman" w:hAnsi="Times New Roman" w:eastAsia="仿宋_GB2312" w:cs="Times New Roman"/>
          <w:color w:val="auto"/>
          <w:sz w:val="32"/>
          <w:szCs w:val="32"/>
        </w:rPr>
        <w:t>以下</w:t>
      </w:r>
      <w:r>
        <w:rPr>
          <w:rFonts w:hint="eastAsia" w:ascii="Times New Roman" w:hAnsi="Times New Roman" w:cs="Times New Roman"/>
          <w:color w:val="auto"/>
          <w:sz w:val="32"/>
          <w:szCs w:val="32"/>
          <w:lang w:val="en-US" w:eastAsia="zh-CN"/>
        </w:rPr>
        <w:t>五</w:t>
      </w:r>
      <w:r>
        <w:rPr>
          <w:rFonts w:ascii="Times New Roman" w:hAnsi="Times New Roman" w:eastAsia="仿宋_GB2312" w:cs="Times New Roman"/>
          <w:color w:val="auto"/>
          <w:sz w:val="32"/>
          <w:szCs w:val="32"/>
        </w:rPr>
        <w:t>个方面的显著进展</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西部大开发综合改革示范区</w:t>
      </w:r>
      <w:r>
        <w:rPr>
          <w:rFonts w:ascii="Times New Roman" w:hAnsi="Times New Roman" w:eastAsia="仿宋_GB2312" w:cs="Times New Roman"/>
          <w:sz w:val="32"/>
          <w:szCs w:val="32"/>
        </w:rPr>
        <w:t>：通过数据揭示贵州在推进西部大开发综合改革中的政策落地情况与成果展示，如产业结构优化、招商引资、城乡一体化建设等方面的表现。</w:t>
      </w:r>
      <w:r>
        <w:rPr>
          <w:rFonts w:ascii="Times New Roman" w:hAnsi="Times New Roman" w:eastAsia="仿宋_GB2312" w:cs="Times New Roman"/>
          <w:b/>
          <w:bCs/>
          <w:sz w:val="32"/>
          <w:szCs w:val="32"/>
        </w:rPr>
        <w:t>巩固拓展脱贫攻坚成果样板区</w:t>
      </w:r>
      <w:r>
        <w:rPr>
          <w:rFonts w:ascii="Times New Roman" w:hAnsi="Times New Roman" w:eastAsia="仿宋_GB2312" w:cs="Times New Roman"/>
          <w:sz w:val="32"/>
          <w:szCs w:val="32"/>
        </w:rPr>
        <w:t>：呈现脱贫攻坚与乡村振兴的衔接成果，重点关注脱贫人口的生活质量提升、基础设施建设、公共服务改善等方面的统计成果，突出贵州作为样板区的典型案例。</w:t>
      </w:r>
      <w:r>
        <w:rPr>
          <w:rFonts w:ascii="Times New Roman" w:hAnsi="Times New Roman" w:eastAsia="仿宋_GB2312" w:cs="Times New Roman"/>
          <w:b/>
          <w:bCs/>
          <w:sz w:val="32"/>
          <w:szCs w:val="32"/>
        </w:rPr>
        <w:t>数字经济发展创新区</w:t>
      </w:r>
      <w:r>
        <w:rPr>
          <w:rFonts w:ascii="Times New Roman" w:hAnsi="Times New Roman" w:eastAsia="仿宋_GB2312" w:cs="Times New Roman"/>
          <w:sz w:val="32"/>
          <w:szCs w:val="32"/>
        </w:rPr>
        <w:t>：运用数据可视化展示贵州在数字经济发展中的创新成果，涵盖大数据、人工智能、区块链等技术应用，特别是“数博会”等数字经济重大活动对区域经济的推动作用。</w:t>
      </w:r>
      <w:r>
        <w:rPr>
          <w:rFonts w:ascii="Times New Roman" w:hAnsi="Times New Roman" w:eastAsia="仿宋_GB2312" w:cs="Times New Roman"/>
          <w:b/>
          <w:bCs/>
          <w:sz w:val="32"/>
          <w:szCs w:val="32"/>
        </w:rPr>
        <w:t>生态文明建设先行区</w:t>
      </w:r>
      <w:r>
        <w:rPr>
          <w:rFonts w:ascii="Times New Roman" w:hAnsi="Times New Roman" w:eastAsia="仿宋_GB2312" w:cs="Times New Roman"/>
          <w:sz w:val="32"/>
          <w:szCs w:val="32"/>
        </w:rPr>
        <w:t>：呈现贵州在生态保护、绿色发展方面的成效，围绕“绿水青山就是金山银山”的理念，展示贵州在森林覆盖率、水资源管理、污染治理等领域的领先成就。</w:t>
      </w:r>
      <w:r>
        <w:rPr>
          <w:rFonts w:ascii="Times New Roman" w:hAnsi="Times New Roman" w:eastAsia="仿宋_GB2312" w:cs="Times New Roman"/>
          <w:b/>
          <w:bCs/>
          <w:sz w:val="32"/>
          <w:szCs w:val="32"/>
        </w:rPr>
        <w:t>展现“一高地”新质生产力的发展成就</w:t>
      </w:r>
      <w:r>
        <w:rPr>
          <w:rFonts w:ascii="Times New Roman" w:hAnsi="Times New Roman" w:eastAsia="仿宋_GB2312" w:cs="Times New Roman"/>
          <w:sz w:val="32"/>
          <w:szCs w:val="32"/>
        </w:rPr>
        <w:t>：参赛作品应阐释贵州在打造“内陆开放型经济新高地”过程中的新质生产力发展，包括与东盟等地区合作成果、自贸区建设带来的经济活力、开放型平台对当地产业的赋能情况等。通过数据直观展现贵州从“内陆腹地”迈向“开放前沿”的重要进程，凸显其在内陆地区高质量发展中的示范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540" w:lineRule="exact"/>
        <w:ind w:firstLine="7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统计数据与可视化表现形式。</w:t>
      </w:r>
      <w:r>
        <w:rPr>
          <w:rFonts w:ascii="Times New Roman" w:hAnsi="Times New Roman" w:eastAsia="仿宋_GB2312" w:cs="Times New Roman"/>
          <w:b/>
          <w:bCs/>
          <w:sz w:val="32"/>
          <w:szCs w:val="32"/>
        </w:rPr>
        <w:t>数据准确</w:t>
      </w:r>
      <w:r>
        <w:rPr>
          <w:rFonts w:ascii="Times New Roman" w:hAnsi="Times New Roman" w:eastAsia="仿宋_GB2312" w:cs="Times New Roman"/>
          <w:sz w:val="32"/>
          <w:szCs w:val="32"/>
        </w:rPr>
        <w:t>：要求作品中使用的统计数据真实、准确，数据来源可靠，可引用省级统计年鉴、各类官方数据报告以及相关行业数据。</w:t>
      </w:r>
      <w:r>
        <w:rPr>
          <w:rFonts w:ascii="Times New Roman" w:hAnsi="Times New Roman" w:eastAsia="仿宋_GB2312" w:cs="Times New Roman"/>
          <w:b/>
          <w:bCs/>
          <w:sz w:val="32"/>
          <w:szCs w:val="32"/>
        </w:rPr>
        <w:t>可视化创新</w:t>
      </w:r>
      <w:r>
        <w:rPr>
          <w:rFonts w:ascii="Times New Roman" w:hAnsi="Times New Roman" w:eastAsia="仿宋_GB2312" w:cs="Times New Roman"/>
          <w:sz w:val="32"/>
          <w:szCs w:val="32"/>
        </w:rPr>
        <w:t>：鼓励参赛者探索创新的数据表现方式，如地图分析、动态数据展示、时序数据动画等，增强数据的可读性与观赏性。</w:t>
      </w:r>
      <w:r>
        <w:rPr>
          <w:rFonts w:ascii="Times New Roman" w:hAnsi="Times New Roman" w:eastAsia="仿宋_GB2312" w:cs="Times New Roman"/>
          <w:b/>
          <w:bCs/>
          <w:sz w:val="32"/>
          <w:szCs w:val="32"/>
        </w:rPr>
        <w:t>多维度展示</w:t>
      </w:r>
      <w:r>
        <w:rPr>
          <w:rFonts w:ascii="Times New Roman" w:hAnsi="Times New Roman" w:eastAsia="仿宋_GB2312" w:cs="Times New Roman"/>
          <w:sz w:val="32"/>
          <w:szCs w:val="32"/>
        </w:rPr>
        <w:t>：作品需围绕主题，从多维度进行数据展示，以图表、图解、文字说明相结合的形式，构建一个丰富立体的作品，方便评审及观众从不同角度理解贵州在新质生产力领域的探索与成果。</w:t>
      </w:r>
    </w:p>
    <w:p>
      <w:pPr>
        <w:spacing w:line="540" w:lineRule="exact"/>
        <w:ind w:firstLine="64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rPr>
        <w:t>)作品表现形式</w:t>
      </w:r>
    </w:p>
    <w:p>
      <w:pPr>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作品以静态图片作品和动态作品的形式呈现，参赛队伍可自行选择某一种形式参赛。具体要求如下：</w:t>
      </w:r>
    </w:p>
    <w:p>
      <w:pPr>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1.静态图片作品：jpg、jpeg、png，即把作品做成一张张体现内容的图片。要求图片大小控制在20M之内，宽度不超过800像素，长度可以自行设置。</w:t>
      </w:r>
    </w:p>
    <w:p>
      <w:pPr>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动态作品（含动态图片、H5动态网页、数据视频等）：动态图片为gif，要求图片大小控制在30M之内，宽度要求不超过800像素。H5动态网页：作品不能引用第三方网站JS和CSS(可以使用jquery、echarts等第三方组件JS，但是不能远程引用JS、CSS、不能使用有侵权风险的组件和素材)，不能使用第三方网站制作H5页面作品；主页面统一命名为index.html，且index.html文件必须放在根目录下。</w:t>
      </w:r>
      <w:r>
        <w:rPr>
          <w:rFonts w:ascii="仿宋_GB2312" w:hAnsi="仿宋_GB2312" w:eastAsia="仿宋_GB2312" w:cs="仿宋_GB2312"/>
          <w:color w:val="000000"/>
          <w:sz w:val="32"/>
          <w:szCs w:val="32"/>
        </w:rPr>
        <w:t>数据视频：作品时长为30秒—5分钟，分辨率设定为1920x1080，采用MP4格式封装，文件大小不超过100Mb。</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）作品提交要求</w:t>
      </w:r>
    </w:p>
    <w:p>
      <w:pPr>
        <w:spacing w:line="54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提交内容：</w:t>
      </w:r>
      <w:r>
        <w:rPr>
          <w:rFonts w:hint="eastAsia" w:ascii="仿宋_GB2312" w:hAnsi="仿宋_GB2312" w:eastAsia="仿宋_GB2312" w:cs="仿宋_GB2312"/>
          <w:sz w:val="32"/>
          <w:szCs w:val="32"/>
        </w:rPr>
        <w:t>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作品说明</w:t>
      </w:r>
      <w:r>
        <w:rPr>
          <w:rFonts w:hint="eastAsia" w:ascii="仿宋_GB2312" w:hAnsi="仿宋_GB2312" w:eastAsia="仿宋_GB2312" w:cs="仿宋_GB2312"/>
          <w:sz w:val="32"/>
          <w:szCs w:val="32"/>
          <w:lang w:val="en-US" w:eastAsia="zh-CN"/>
        </w:rPr>
        <w:t>文档。</w:t>
      </w:r>
    </w:p>
    <w:p>
      <w:pPr>
        <w:spacing w:line="540" w:lineRule="exact"/>
        <w:ind w:firstLine="640"/>
        <w:jc w:val="left"/>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作品说明</w:t>
      </w:r>
      <w:r>
        <w:rPr>
          <w:rFonts w:hint="eastAsia" w:ascii="仿宋_GB2312" w:hAnsi="仿宋_GB2312" w:eastAsia="仿宋_GB2312" w:cs="仿宋_GB2312"/>
          <w:sz w:val="32"/>
          <w:szCs w:val="32"/>
          <w:lang w:val="en-US" w:eastAsia="zh-CN"/>
        </w:rPr>
        <w:t>文档为500</w:t>
      </w:r>
      <w:r>
        <w:rPr>
          <w:rFonts w:ascii="仿宋_GB2312" w:hAnsi="仿宋_GB2312" w:eastAsia="仿宋_GB2312" w:cs="仿宋_GB2312"/>
          <w:sz w:val="32"/>
          <w:szCs w:val="32"/>
        </w:rPr>
        <w:t>字</w:t>
      </w:r>
      <w:r>
        <w:rPr>
          <w:rFonts w:hint="eastAsia" w:ascii="仿宋_GB2312" w:hAnsi="仿宋_GB2312" w:eastAsia="仿宋_GB2312" w:cs="仿宋_GB2312"/>
          <w:sz w:val="32"/>
          <w:szCs w:val="32"/>
          <w:lang w:val="en-US" w:eastAsia="zh-CN"/>
        </w:rPr>
        <w:t>以内</w:t>
      </w:r>
      <w:r>
        <w:rPr>
          <w:rFonts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作品简介（</w:t>
      </w:r>
      <w:r>
        <w:rPr>
          <w:rFonts w:hint="eastAsia" w:ascii="仿宋_GB2312" w:hAnsi="仿宋_GB2312" w:eastAsia="仿宋_GB2312" w:cs="仿宋_GB2312"/>
          <w:sz w:val="32"/>
          <w:szCs w:val="32"/>
          <w:lang w:eastAsia="zh-CN"/>
        </w:rPr>
        <w:t>以Word或PDF格式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简介</w:t>
      </w:r>
      <w:r>
        <w:rPr>
          <w:rFonts w:ascii="仿宋_GB2312" w:hAnsi="仿宋_GB2312" w:eastAsia="仿宋_GB2312" w:cs="仿宋_GB2312"/>
          <w:sz w:val="32"/>
          <w:szCs w:val="32"/>
        </w:rPr>
        <w:t>内容包括</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数据来源、数据类型、数据规模、技术路线、创意思路等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图文并茂的方式介绍作品</w:t>
      </w:r>
      <w:r>
        <w:rPr>
          <w:rFonts w:ascii="仿宋_GB2312" w:hAnsi="仿宋_GB2312" w:eastAsia="仿宋_GB2312" w:cs="仿宋_GB2312"/>
          <w:sz w:val="32"/>
          <w:szCs w:val="32"/>
        </w:rPr>
        <w:t>以便评审专家更快捕捉作品亮点</w:t>
      </w:r>
      <w:r>
        <w:rPr>
          <w:rFonts w:hint="eastAsia" w:ascii="仿宋_GB2312" w:hAnsi="仿宋_GB2312" w:eastAsia="仿宋_GB2312" w:cs="仿宋_GB2312"/>
          <w:sz w:val="32"/>
          <w:szCs w:val="32"/>
          <w:lang w:eastAsia="zh-CN"/>
        </w:rPr>
        <w:t>。</w:t>
      </w:r>
    </w:p>
    <w:p>
      <w:pPr>
        <w:tabs>
          <w:tab w:val="left" w:pos="3135"/>
        </w:tabs>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注意事项：每支参赛队伍仅限一个作品进行报名参赛。每队参赛学生成员和指导教师均不超过三人。</w:t>
      </w:r>
    </w:p>
    <w:p>
      <w:pPr>
        <w:tabs>
          <w:tab w:val="left" w:pos="3135"/>
        </w:tabs>
        <w:spacing w:line="540" w:lineRule="exact"/>
        <w:ind w:firstLine="640"/>
        <w:jc w:val="left"/>
        <w:rPr>
          <w:rFonts w:ascii="黑体" w:hAnsi="黑体" w:eastAsia="黑体" w:cs="黑体"/>
          <w:color w:val="000000"/>
          <w:sz w:val="32"/>
          <w:szCs w:val="32"/>
        </w:rPr>
      </w:pPr>
      <w:r>
        <w:rPr>
          <w:rFonts w:hint="eastAsia" w:ascii="黑体" w:hAnsi="黑体" w:eastAsia="黑体" w:cs="黑体"/>
          <w:color w:val="000000"/>
          <w:sz w:val="32"/>
          <w:szCs w:val="32"/>
        </w:rPr>
        <w:t>五、赛程安排</w:t>
      </w:r>
      <w:r>
        <w:rPr>
          <w:rFonts w:hint="eastAsia" w:ascii="黑体" w:hAnsi="黑体" w:eastAsia="黑体" w:cs="黑体"/>
          <w:color w:val="000000"/>
          <w:sz w:val="32"/>
          <w:szCs w:val="32"/>
        </w:rPr>
        <w:tab/>
      </w:r>
    </w:p>
    <w:p>
      <w:pPr>
        <w:tabs>
          <w:tab w:val="left" w:pos="3135"/>
        </w:tabs>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（一）校级初赛阶段</w:t>
      </w:r>
      <w:r>
        <w:rPr>
          <w:rFonts w:hint="eastAsia" w:ascii="仿宋_GB2312" w:hAnsi="仿宋_GB2312" w:eastAsia="仿宋_GB2312" w:cs="仿宋_GB2312"/>
          <w:sz w:val="32"/>
          <w:szCs w:val="32"/>
        </w:rPr>
        <w:t>（11月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日--11月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tabs>
          <w:tab w:val="left" w:pos="3135"/>
        </w:tabs>
        <w:spacing w:line="54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由管理学院管理科学学会负责组织本次校级初赛；各学院推荐作品参加校级初赛，校级初赛在1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月2</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日截至参赛作品收集，</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日前完成参赛作品评审。</w:t>
      </w:r>
    </w:p>
    <w:p>
      <w:pPr>
        <w:tabs>
          <w:tab w:val="left" w:pos="3135"/>
        </w:tabs>
        <w:spacing w:line="540" w:lineRule="exact"/>
        <w:ind w:firstLine="640"/>
        <w:jc w:val="left"/>
        <w:rPr>
          <w:rFonts w:ascii="仿宋_GB2312" w:hAnsi="仿宋_GB2312" w:eastAsia="仿宋_GB2312" w:cs="仿宋_GB2312"/>
          <w:color w:val="000000"/>
          <w:sz w:val="32"/>
          <w:szCs w:val="32"/>
        </w:rPr>
      </w:pPr>
      <w:bookmarkStart w:id="0" w:name="_Hlk48082807"/>
      <w:r>
        <w:rPr>
          <w:rFonts w:hint="eastAsia" w:ascii="仿宋_GB2312" w:hAnsi="仿宋_GB2312" w:eastAsia="仿宋_GB2312" w:cs="仿宋_GB2312"/>
          <w:color w:val="000000"/>
          <w:sz w:val="32"/>
          <w:szCs w:val="32"/>
        </w:rPr>
        <w:t>评审</w:t>
      </w:r>
      <w:bookmarkEnd w:id="0"/>
      <w:r>
        <w:rPr>
          <w:rFonts w:hint="eastAsia" w:ascii="仿宋_GB2312" w:hAnsi="仿宋_GB2312" w:eastAsia="仿宋_GB2312" w:cs="仿宋_GB2312"/>
          <w:color w:val="000000"/>
          <w:sz w:val="32"/>
          <w:szCs w:val="32"/>
        </w:rPr>
        <w:t>规则</w:t>
      </w:r>
    </w:p>
    <w:p>
      <w:pPr>
        <w:tabs>
          <w:tab w:val="left" w:pos="3135"/>
        </w:tabs>
        <w:spacing w:line="54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按照作品不同的表现形式分设两个组（静态图片、动态作品）。评审专家根据参赛作品的规范性、可读性、技术性、创新性、艺术性进行量化评价。</w:t>
      </w:r>
    </w:p>
    <w:p>
      <w:pPr>
        <w:tabs>
          <w:tab w:val="left" w:pos="3135"/>
        </w:tabs>
        <w:spacing w:line="540" w:lineRule="exact"/>
        <w:ind w:firstLine="640"/>
        <w:jc w:val="center"/>
        <w:rPr>
          <w:rFonts w:hint="eastAsia" w:ascii="仿宋_GB2312" w:hAnsi="仿宋_GB2312" w:eastAsia="仿宋_GB2312" w:cs="仿宋_GB2312"/>
          <w:color w:val="000000"/>
          <w:sz w:val="32"/>
          <w:szCs w:val="32"/>
        </w:rPr>
      </w:pPr>
    </w:p>
    <w:p>
      <w:pPr>
        <w:tabs>
          <w:tab w:val="left" w:pos="3135"/>
        </w:tabs>
        <w:spacing w:line="540" w:lineRule="exact"/>
        <w:ind w:firstLine="640"/>
        <w:jc w:val="center"/>
        <w:rPr>
          <w:rFonts w:hint="eastAsia" w:ascii="仿宋_GB2312" w:hAnsi="仿宋_GB2312" w:eastAsia="仿宋_GB2312" w:cs="仿宋_GB2312"/>
          <w:color w:val="000000"/>
          <w:sz w:val="32"/>
          <w:szCs w:val="32"/>
        </w:rPr>
      </w:pPr>
    </w:p>
    <w:p>
      <w:pPr>
        <w:tabs>
          <w:tab w:val="left" w:pos="3135"/>
        </w:tabs>
        <w:spacing w:line="540" w:lineRule="exact"/>
        <w:ind w:firstLine="640"/>
        <w:jc w:val="center"/>
        <w:rPr>
          <w:rFonts w:hint="eastAsia" w:ascii="仿宋_GB2312" w:hAnsi="仿宋_GB2312" w:eastAsia="仿宋_GB2312" w:cs="仿宋_GB2312"/>
          <w:color w:val="000000"/>
          <w:sz w:val="32"/>
          <w:szCs w:val="32"/>
        </w:rPr>
      </w:pPr>
    </w:p>
    <w:p>
      <w:pPr>
        <w:tabs>
          <w:tab w:val="left" w:pos="3135"/>
        </w:tabs>
        <w:spacing w:line="540" w:lineRule="exact"/>
        <w:jc w:val="both"/>
        <w:rPr>
          <w:rFonts w:hint="eastAsia" w:ascii="仿宋_GB2312" w:hAnsi="仿宋_GB2312" w:eastAsia="仿宋_GB2312" w:cs="仿宋_GB2312"/>
          <w:color w:val="000000"/>
          <w:sz w:val="32"/>
          <w:szCs w:val="32"/>
        </w:rPr>
      </w:pPr>
    </w:p>
    <w:p>
      <w:pPr>
        <w:tabs>
          <w:tab w:val="left" w:pos="3135"/>
        </w:tabs>
        <w:spacing w:line="540" w:lineRule="exact"/>
        <w:ind w:firstLine="64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 可视化作品评分表</w:t>
      </w:r>
    </w:p>
    <w:tbl>
      <w:tblPr>
        <w:tblStyle w:val="6"/>
        <w:tblpPr w:leftFromText="180" w:rightFromText="180" w:vertAnchor="text" w:horzAnchor="page" w:tblpX="2022" w:tblpY="156"/>
        <w:tblOverlap w:val="never"/>
        <w:tblW w:w="8298" w:type="dxa"/>
        <w:tblInd w:w="0" w:type="dxa"/>
        <w:tblLayout w:type="fixed"/>
        <w:tblCellMar>
          <w:top w:w="0" w:type="dxa"/>
          <w:left w:w="108" w:type="dxa"/>
          <w:bottom w:w="0" w:type="dxa"/>
          <w:right w:w="108" w:type="dxa"/>
        </w:tblCellMar>
      </w:tblPr>
      <w:tblGrid>
        <w:gridCol w:w="683"/>
        <w:gridCol w:w="1166"/>
        <w:gridCol w:w="5287"/>
        <w:gridCol w:w="1162"/>
      </w:tblGrid>
      <w:tr>
        <w:tblPrEx>
          <w:tblCellMar>
            <w:top w:w="0" w:type="dxa"/>
            <w:left w:w="108" w:type="dxa"/>
            <w:bottom w:w="0" w:type="dxa"/>
            <w:right w:w="108" w:type="dxa"/>
          </w:tblCellMar>
        </w:tblPrEx>
        <w:trPr>
          <w:trHeight w:val="700" w:hRule="atLeast"/>
        </w:trPr>
        <w:tc>
          <w:tcPr>
            <w:tcW w:w="683" w:type="dxa"/>
            <w:tcBorders>
              <w:top w:val="single" w:color="000000" w:sz="12" w:space="0"/>
              <w:left w:val="single" w:color="000000" w:sz="12"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序号</w:t>
            </w:r>
          </w:p>
        </w:tc>
        <w:tc>
          <w:tcPr>
            <w:tcW w:w="1166" w:type="dxa"/>
            <w:tcBorders>
              <w:top w:val="single" w:color="000000" w:sz="12" w:space="0"/>
              <w:left w:val="single" w:color="000000" w:sz="6"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评价要素</w:t>
            </w:r>
          </w:p>
        </w:tc>
        <w:tc>
          <w:tcPr>
            <w:tcW w:w="5287" w:type="dxa"/>
            <w:tcBorders>
              <w:top w:val="single" w:color="000000" w:sz="12" w:space="0"/>
              <w:left w:val="single" w:color="000000" w:sz="6" w:space="0"/>
              <w:bottom w:val="single" w:color="000000" w:sz="12" w:space="0"/>
              <w:right w:val="single" w:color="000000" w:sz="4"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评  分  内  容</w:t>
            </w:r>
          </w:p>
        </w:tc>
        <w:tc>
          <w:tcPr>
            <w:tcW w:w="1162" w:type="dxa"/>
            <w:tcBorders>
              <w:top w:val="single" w:color="000000" w:sz="12" w:space="0"/>
              <w:left w:val="single" w:color="000000" w:sz="4" w:space="0"/>
              <w:bottom w:val="single" w:color="000000" w:sz="12" w:space="0"/>
              <w:right w:val="single" w:color="000000" w:sz="4"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项目满分</w:t>
            </w:r>
          </w:p>
        </w:tc>
      </w:tr>
      <w:tr>
        <w:tblPrEx>
          <w:tblCellMar>
            <w:top w:w="0" w:type="dxa"/>
            <w:left w:w="108" w:type="dxa"/>
            <w:bottom w:w="0" w:type="dxa"/>
            <w:right w:w="108" w:type="dxa"/>
          </w:tblCellMar>
        </w:tblPrEx>
        <w:trPr>
          <w:trHeight w:val="705" w:hRule="atLeast"/>
        </w:trPr>
        <w:tc>
          <w:tcPr>
            <w:tcW w:w="683" w:type="dxa"/>
            <w:tcBorders>
              <w:top w:val="single" w:color="000000" w:sz="12" w:space="0"/>
              <w:left w:val="single" w:color="000000" w:sz="12"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1</w:t>
            </w:r>
          </w:p>
        </w:tc>
        <w:tc>
          <w:tcPr>
            <w:tcW w:w="1166" w:type="dxa"/>
            <w:tcBorders>
              <w:top w:val="single" w:color="000000" w:sz="12"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规范性</w:t>
            </w:r>
          </w:p>
        </w:tc>
        <w:tc>
          <w:tcPr>
            <w:tcW w:w="5287" w:type="dxa"/>
            <w:tcBorders>
              <w:top w:val="single" w:color="000000" w:sz="12"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color w:val="000000"/>
                <w:szCs w:val="21"/>
              </w:rPr>
              <w:t>作品选题符合要求、格式规范、数据信息与语言表达准确、结构完整、主题突出</w:t>
            </w:r>
          </w:p>
        </w:tc>
        <w:tc>
          <w:tcPr>
            <w:tcW w:w="1162" w:type="dxa"/>
            <w:tcBorders>
              <w:top w:val="single" w:color="000000" w:sz="12"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20</w:t>
            </w:r>
          </w:p>
        </w:tc>
      </w:tr>
      <w:tr>
        <w:tblPrEx>
          <w:tblCellMar>
            <w:top w:w="0" w:type="dxa"/>
            <w:left w:w="108" w:type="dxa"/>
            <w:bottom w:w="0" w:type="dxa"/>
            <w:right w:w="108" w:type="dxa"/>
          </w:tblCellMar>
        </w:tblPrEx>
        <w:trPr>
          <w:trHeight w:val="671" w:hRule="atLeast"/>
        </w:trPr>
        <w:tc>
          <w:tcPr>
            <w:tcW w:w="683" w:type="dxa"/>
            <w:tcBorders>
              <w:top w:val="single" w:color="000000" w:sz="6" w:space="0"/>
              <w:left w:val="single" w:color="000000" w:sz="12"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166" w:type="dxa"/>
            <w:tcBorders>
              <w:top w:val="single" w:color="000000" w:sz="6"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可读性</w:t>
            </w:r>
          </w:p>
        </w:tc>
        <w:tc>
          <w:tcPr>
            <w:tcW w:w="5287" w:type="dxa"/>
            <w:tcBorders>
              <w:top w:val="single" w:color="000000" w:sz="6"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color w:val="000000"/>
                <w:szCs w:val="21"/>
              </w:rPr>
              <w:t>可视化程度较高，直观，易于理解，能清晰、有效的进行信息传递</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30</w:t>
            </w:r>
          </w:p>
        </w:tc>
      </w:tr>
      <w:tr>
        <w:tblPrEx>
          <w:tblCellMar>
            <w:top w:w="0" w:type="dxa"/>
            <w:left w:w="108" w:type="dxa"/>
            <w:bottom w:w="0" w:type="dxa"/>
            <w:right w:w="108" w:type="dxa"/>
          </w:tblCellMar>
        </w:tblPrEx>
        <w:trPr>
          <w:trHeight w:val="992" w:hRule="atLeast"/>
        </w:trPr>
        <w:tc>
          <w:tcPr>
            <w:tcW w:w="683" w:type="dxa"/>
            <w:tcBorders>
              <w:top w:val="single" w:color="000000" w:sz="6" w:space="0"/>
              <w:left w:val="single" w:color="000000" w:sz="12"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1166" w:type="dxa"/>
            <w:tcBorders>
              <w:top w:val="single" w:color="000000" w:sz="6"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技术性</w:t>
            </w:r>
          </w:p>
        </w:tc>
        <w:tc>
          <w:tcPr>
            <w:tcW w:w="5287" w:type="dxa"/>
            <w:tcBorders>
              <w:top w:val="single" w:color="000000" w:sz="6"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作品内容呈现具有一定的层次性，功能结构设计合理，技术手段要求较高，具备一定的数据建模能力和数据整理能力</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20</w:t>
            </w:r>
          </w:p>
        </w:tc>
      </w:tr>
      <w:tr>
        <w:tblPrEx>
          <w:tblCellMar>
            <w:top w:w="0" w:type="dxa"/>
            <w:left w:w="108" w:type="dxa"/>
            <w:bottom w:w="0" w:type="dxa"/>
            <w:right w:w="108" w:type="dxa"/>
          </w:tblCellMar>
        </w:tblPrEx>
        <w:trPr>
          <w:trHeight w:val="671" w:hRule="atLeast"/>
        </w:trPr>
        <w:tc>
          <w:tcPr>
            <w:tcW w:w="683" w:type="dxa"/>
            <w:tcBorders>
              <w:top w:val="single" w:color="000000" w:sz="6" w:space="0"/>
              <w:left w:val="single" w:color="000000" w:sz="12" w:space="0"/>
              <w:bottom w:val="single" w:color="000000" w:sz="6" w:space="0"/>
              <w:right w:val="single" w:color="000000" w:sz="4"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1166" w:type="dxa"/>
            <w:tcBorders>
              <w:top w:val="single" w:color="000000" w:sz="6" w:space="0"/>
              <w:left w:val="single" w:color="000000" w:sz="4" w:space="0"/>
              <w:bottom w:val="single" w:color="000000" w:sz="6" w:space="0"/>
              <w:right w:val="single" w:color="000000" w:sz="4"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创新性</w:t>
            </w:r>
          </w:p>
        </w:tc>
        <w:tc>
          <w:tcPr>
            <w:tcW w:w="5287" w:type="dxa"/>
            <w:tcBorders>
              <w:top w:val="single" w:color="000000" w:sz="6" w:space="0"/>
              <w:left w:val="single" w:color="000000" w:sz="4"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构思有创意、表达方式有新意、技术手段与方法有创新，能够为解决实际工作问题提供决策方案</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20</w:t>
            </w:r>
          </w:p>
        </w:tc>
      </w:tr>
      <w:tr>
        <w:tblPrEx>
          <w:tblCellMar>
            <w:top w:w="0" w:type="dxa"/>
            <w:left w:w="108" w:type="dxa"/>
            <w:bottom w:w="0" w:type="dxa"/>
            <w:right w:w="108" w:type="dxa"/>
          </w:tblCellMar>
        </w:tblPrEx>
        <w:trPr>
          <w:trHeight w:val="671" w:hRule="atLeast"/>
        </w:trPr>
        <w:tc>
          <w:tcPr>
            <w:tcW w:w="683" w:type="dxa"/>
            <w:tcBorders>
              <w:top w:val="single" w:color="000000" w:sz="6" w:space="0"/>
              <w:left w:val="single" w:color="000000" w:sz="12" w:space="0"/>
              <w:bottom w:val="single" w:color="000000" w:sz="12" w:space="0"/>
              <w:right w:val="single" w:color="000000" w:sz="4"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5</w:t>
            </w:r>
          </w:p>
        </w:tc>
        <w:tc>
          <w:tcPr>
            <w:tcW w:w="1166" w:type="dxa"/>
            <w:tcBorders>
              <w:top w:val="single" w:color="000000" w:sz="6" w:space="0"/>
              <w:left w:val="single" w:color="000000" w:sz="4" w:space="0"/>
              <w:bottom w:val="single" w:color="000000" w:sz="12" w:space="0"/>
              <w:right w:val="single" w:color="000000" w:sz="4"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艺术性</w:t>
            </w:r>
          </w:p>
        </w:tc>
        <w:tc>
          <w:tcPr>
            <w:tcW w:w="5287" w:type="dxa"/>
            <w:tcBorders>
              <w:top w:val="single" w:color="000000" w:sz="6" w:space="0"/>
              <w:left w:val="single" w:color="000000" w:sz="4"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color w:val="000000"/>
                <w:szCs w:val="21"/>
              </w:rPr>
              <w:t>美观、优雅，具有冲击力和说服力，是科学、艺术和设计的较好结合</w:t>
            </w:r>
          </w:p>
        </w:tc>
        <w:tc>
          <w:tcPr>
            <w:tcW w:w="1162" w:type="dxa"/>
            <w:tcBorders>
              <w:top w:val="single" w:color="000000" w:sz="6" w:space="0"/>
              <w:left w:val="single" w:color="000000" w:sz="6"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10</w:t>
            </w:r>
          </w:p>
        </w:tc>
      </w:tr>
      <w:tr>
        <w:tblPrEx>
          <w:tblCellMar>
            <w:top w:w="0" w:type="dxa"/>
            <w:left w:w="108" w:type="dxa"/>
            <w:bottom w:w="0" w:type="dxa"/>
            <w:right w:w="108" w:type="dxa"/>
          </w:tblCellMar>
        </w:tblPrEx>
        <w:trPr>
          <w:trHeight w:val="700" w:hRule="atLeast"/>
        </w:trPr>
        <w:tc>
          <w:tcPr>
            <w:tcW w:w="7136" w:type="dxa"/>
            <w:gridSpan w:val="3"/>
            <w:tcBorders>
              <w:top w:val="single" w:color="000000" w:sz="6" w:space="0"/>
              <w:left w:val="single" w:color="000000" w:sz="12"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总分</w:t>
            </w:r>
          </w:p>
        </w:tc>
        <w:tc>
          <w:tcPr>
            <w:tcW w:w="1162" w:type="dxa"/>
            <w:tcBorders>
              <w:top w:val="single" w:color="000000" w:sz="6" w:space="0"/>
              <w:left w:val="single" w:color="000000" w:sz="6"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color w:val="000000"/>
                <w:szCs w:val="21"/>
              </w:rPr>
              <w:t>100</w:t>
            </w:r>
          </w:p>
        </w:tc>
      </w:tr>
      <w:tr>
        <w:tblPrEx>
          <w:tblCellMar>
            <w:top w:w="0" w:type="dxa"/>
            <w:left w:w="108" w:type="dxa"/>
            <w:bottom w:w="0" w:type="dxa"/>
            <w:right w:w="108" w:type="dxa"/>
          </w:tblCellMar>
        </w:tblPrEx>
        <w:trPr>
          <w:trHeight w:val="1092" w:hRule="atLeast"/>
        </w:trPr>
        <w:tc>
          <w:tcPr>
            <w:tcW w:w="1849" w:type="dxa"/>
            <w:gridSpan w:val="2"/>
            <w:tcBorders>
              <w:top w:val="single" w:color="000000" w:sz="6" w:space="0"/>
              <w:left w:val="single" w:color="000000" w:sz="12" w:space="0"/>
              <w:bottom w:val="single" w:color="000000" w:sz="12" w:space="0"/>
              <w:right w:val="single" w:color="000000" w:sz="4" w:space="0"/>
            </w:tcBorders>
            <w:shd w:val="clear" w:color="auto" w:fill="auto"/>
            <w:tcMar>
              <w:left w:w="80" w:type="dxa"/>
              <w:right w:w="80" w:type="dxa"/>
            </w:tcMar>
            <w:vAlign w:val="center"/>
          </w:tcPr>
          <w:p>
            <w:pPr>
              <w:keepNext w:val="0"/>
              <w:keepLines w:val="0"/>
              <w:suppressLineNumbers w:val="0"/>
              <w:spacing w:before="0" w:beforeAutospacing="0" w:after="0" w:afterAutospacing="0" w:line="540" w:lineRule="exact"/>
              <w:ind w:left="0" w:right="0"/>
              <w:jc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b/>
                <w:bCs/>
                <w:color w:val="000000"/>
                <w:szCs w:val="21"/>
                <w:highlight w:val="none"/>
              </w:rPr>
              <w:t>加分项</w:t>
            </w:r>
          </w:p>
        </w:tc>
        <w:tc>
          <w:tcPr>
            <w:tcW w:w="5287" w:type="dxa"/>
            <w:tcBorders>
              <w:top w:val="single" w:color="000000" w:sz="6" w:space="0"/>
              <w:left w:val="single" w:color="000000" w:sz="4"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作品采用先进的数据可视化技术，如三维渲染、动态数据等准确传达数据信息，能够通过数据可视化有效地解决问题或提供决策支持。</w:t>
            </w:r>
          </w:p>
        </w:tc>
        <w:tc>
          <w:tcPr>
            <w:tcW w:w="1162" w:type="dxa"/>
            <w:tcBorders>
              <w:top w:val="single" w:color="000000" w:sz="6" w:space="0"/>
              <w:left w:val="single" w:color="000000" w:sz="6" w:space="0"/>
              <w:bottom w:val="single" w:color="000000" w:sz="12" w:space="0"/>
              <w:right w:val="single" w:color="000000" w:sz="6" w:space="0"/>
            </w:tcBorders>
            <w:shd w:val="clear" w:color="auto" w:fill="auto"/>
            <w:tcMar>
              <w:left w:w="80" w:type="dxa"/>
              <w:right w:w="80"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评委视作品情况加2-5分</w:t>
            </w:r>
          </w:p>
        </w:tc>
      </w:tr>
    </w:tbl>
    <w:p>
      <w:pPr>
        <w:tabs>
          <w:tab w:val="left" w:pos="3135"/>
        </w:tabs>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注意事项：为进一步提高参赛作品质量，完成校级初赛，共遴选出10件作品推荐参加省赛。</w:t>
      </w:r>
    </w:p>
    <w:p>
      <w:pPr>
        <w:keepNext w:val="0"/>
        <w:keepLines w:val="0"/>
        <w:widowControl w:val="0"/>
        <w:suppressLineNumbers w:val="0"/>
        <w:tabs>
          <w:tab w:val="left" w:pos="3135"/>
        </w:tabs>
        <w:spacing w:before="0" w:beforeAutospacing="0" w:after="0" w:afterAutospacing="0" w:line="540" w:lineRule="exact"/>
        <w:ind w:left="0" w:right="0" w:firstLine="640"/>
        <w:jc w:val="left"/>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（二）省赛报名阶段（12</w:t>
      </w:r>
      <w:r>
        <w:rPr>
          <w:rFonts w:hint="eastAsia" w:ascii="仿宋_GB2312" w:hAnsi="仿宋_GB2312" w:eastAsia="仿宋_GB2312" w:cs="仿宋_GB2312"/>
          <w:kern w:val="0"/>
          <w:sz w:val="32"/>
          <w:szCs w:val="32"/>
          <w:lang w:val="en-US" w:eastAsia="zh-CN" w:bidi="ar"/>
        </w:rPr>
        <w:t>月2日—12月8日</w:t>
      </w:r>
      <w:r>
        <w:rPr>
          <w:rFonts w:hint="eastAsia" w:ascii="仿宋_GB2312" w:hAnsi="仿宋_GB2312" w:eastAsia="仿宋_GB2312" w:cs="仿宋_GB2312"/>
          <w:color w:val="000000"/>
          <w:kern w:val="0"/>
          <w:sz w:val="32"/>
          <w:szCs w:val="32"/>
          <w:lang w:val="en-US" w:eastAsia="zh-CN" w:bidi="ar"/>
        </w:rPr>
        <w:t>）</w:t>
      </w:r>
    </w:p>
    <w:p>
      <w:pPr>
        <w:keepNext w:val="0"/>
        <w:keepLines w:val="0"/>
        <w:widowControl w:val="0"/>
        <w:suppressLineNumbers w:val="0"/>
        <w:tabs>
          <w:tab w:val="left" w:pos="3135"/>
        </w:tabs>
        <w:spacing w:before="0" w:beforeAutospacing="0" w:after="0" w:afterAutospacing="0" w:line="540" w:lineRule="exact"/>
        <w:ind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（三）作品审核阶段（12月9日—12月12日）</w:t>
      </w:r>
    </w:p>
    <w:p>
      <w:pPr>
        <w:tabs>
          <w:tab w:val="left" w:pos="313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审核通过的作品将通过 “贵州统计发布”APP中展示。</w:t>
      </w:r>
      <w:r>
        <w:rPr>
          <w:rFonts w:hint="eastAsia" w:ascii="仿宋_GB2312" w:hAnsi="仿宋_GB2312" w:eastAsia="仿宋_GB2312" w:cs="仿宋_GB2312"/>
          <w:color w:val="auto"/>
          <w:sz w:val="32"/>
          <w:szCs w:val="32"/>
        </w:rPr>
        <w:t>通过审核的作品，在平台中可自行查阅，但不能再进行修改；未通过评审的作品，平台会短信告知参赛者，参赛者可以进行相应修改后继续提交审核。</w:t>
      </w:r>
    </w:p>
    <w:p>
      <w:pPr>
        <w:numPr>
          <w:ilvl w:val="0"/>
          <w:numId w:val="1"/>
        </w:numPr>
        <w:tabs>
          <w:tab w:val="left" w:pos="3135"/>
        </w:tabs>
        <w:spacing w:line="54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专家线上评分阶段（</w:t>
      </w:r>
      <w:r>
        <w:rPr>
          <w:rFonts w:hint="eastAsia" w:ascii="仿宋_GB2312" w:hAnsi="仿宋_GB2312" w:eastAsia="仿宋_GB2312" w:cs="仿宋_GB2312"/>
          <w:color w:val="auto"/>
          <w:sz w:val="32"/>
          <w:szCs w:val="32"/>
        </w:rPr>
        <w:t>12月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日—12月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w:t>
      </w:r>
    </w:p>
    <w:p>
      <w:pPr>
        <w:tabs>
          <w:tab w:val="left" w:pos="3135"/>
        </w:tabs>
        <w:spacing w:line="540" w:lineRule="exact"/>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rPr>
        <w:t>大赛将通过贵州省高校统计信息可视化专家库随机抽选评分专家，每一份作品将随机分配到</w:t>
      </w:r>
      <w:r>
        <w:rPr>
          <w:rFonts w:hint="eastAsia" w:ascii="仿宋_GB2312" w:hAnsi="仿宋_GB2312" w:eastAsia="仿宋_GB2312" w:cs="仿宋_GB2312"/>
          <w:color w:val="auto"/>
          <w:sz w:val="32"/>
          <w:szCs w:val="32"/>
          <w:highlight w:val="none"/>
        </w:rPr>
        <w:t>3位评审专家，</w:t>
      </w:r>
      <w:r>
        <w:rPr>
          <w:rFonts w:hint="eastAsia" w:ascii="仿宋_GB2312" w:hAnsi="仿宋_GB2312" w:eastAsia="仿宋_GB2312" w:cs="仿宋_GB2312"/>
          <w:color w:val="auto"/>
          <w:sz w:val="32"/>
          <w:szCs w:val="32"/>
        </w:rPr>
        <w:t>系统会自动避免评审专家评阅其所属院校学生作品，作品的最终成绩为</w:t>
      </w:r>
      <w:r>
        <w:rPr>
          <w:rFonts w:hint="eastAsia" w:ascii="仿宋_GB2312" w:hAnsi="仿宋_GB2312" w:eastAsia="仿宋_GB2312" w:cs="仿宋_GB2312"/>
          <w:color w:val="auto"/>
          <w:sz w:val="32"/>
          <w:szCs w:val="32"/>
          <w:highlight w:val="none"/>
        </w:rPr>
        <w:t>3位评审专家的算术平均分</w:t>
      </w:r>
      <w:r>
        <w:rPr>
          <w:rFonts w:hint="eastAsia" w:ascii="仿宋_GB2312" w:hAnsi="仿宋_GB2312" w:eastAsia="仿宋_GB2312" w:cs="仿宋_GB2312"/>
          <w:color w:val="auto"/>
          <w:sz w:val="32"/>
          <w:szCs w:val="32"/>
        </w:rPr>
        <w:t>。省赛组委会办公室从高分到低分按照15%的比例</w:t>
      </w:r>
      <w:r>
        <w:rPr>
          <w:rFonts w:hint="eastAsia" w:ascii="仿宋_GB2312" w:hAnsi="仿宋_GB2312" w:eastAsia="仿宋_GB2312" w:cs="仿宋_GB2312"/>
          <w:color w:val="auto"/>
          <w:sz w:val="32"/>
          <w:szCs w:val="32"/>
          <w:lang w:val="en-US" w:eastAsia="zh-CN"/>
        </w:rPr>
        <w:t>确定</w:t>
      </w:r>
      <w:r>
        <w:rPr>
          <w:rFonts w:hint="eastAsia" w:ascii="仿宋_GB2312" w:hAnsi="仿宋_GB2312" w:eastAsia="仿宋_GB2312" w:cs="仿宋_GB2312"/>
          <w:color w:val="auto"/>
          <w:sz w:val="32"/>
          <w:szCs w:val="32"/>
        </w:rPr>
        <w:t>入围全省决赛名单。</w:t>
      </w:r>
    </w:p>
    <w:p>
      <w:pPr>
        <w:tabs>
          <w:tab w:val="left" w:pos="3135"/>
        </w:tabs>
        <w:spacing w:line="540" w:lineRule="exact"/>
        <w:ind w:firstLine="640" w:firstLineChars="200"/>
        <w:jc w:val="left"/>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（五）全省</w:t>
      </w:r>
      <w:r>
        <w:rPr>
          <w:rFonts w:hint="eastAsia" w:ascii="仿宋_GB2312" w:hAnsi="仿宋_GB2312" w:eastAsia="仿宋_GB2312" w:cs="仿宋_GB2312"/>
          <w:sz w:val="32"/>
          <w:szCs w:val="32"/>
        </w:rPr>
        <w:t>决赛</w:t>
      </w:r>
      <w:r>
        <w:rPr>
          <w:rFonts w:hint="eastAsia" w:ascii="仿宋_GB2312" w:hAnsi="仿宋_GB2312" w:eastAsia="仿宋_GB2312" w:cs="仿宋_GB2312"/>
          <w:color w:val="000000"/>
          <w:sz w:val="32"/>
          <w:szCs w:val="32"/>
        </w:rPr>
        <w:t>（时间、地点待定，另行通知）</w:t>
      </w:r>
    </w:p>
    <w:p>
      <w:pPr>
        <w:tabs>
          <w:tab w:val="left" w:pos="3135"/>
        </w:tabs>
        <w:spacing w:line="540" w:lineRule="exact"/>
        <w:ind w:firstLine="7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入围决赛的团队需通过现场答辩的形式展示作品。</w:t>
      </w:r>
    </w:p>
    <w:p>
      <w:pPr>
        <w:tabs>
          <w:tab w:val="left" w:pos="3135"/>
        </w:tabs>
        <w:spacing w:line="540" w:lineRule="exact"/>
        <w:ind w:firstLine="7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决赛专家打分：通过贵州省高校统计信息可视化专家库随机抽选5名评分专家，对进入省赛决赛的作品进行现场打分。</w:t>
      </w:r>
    </w:p>
    <w:p>
      <w:pPr>
        <w:tabs>
          <w:tab w:val="left" w:pos="3135"/>
        </w:tabs>
        <w:spacing w:line="540" w:lineRule="exact"/>
        <w:ind w:firstLine="7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决赛观众投票：每所高校可派出5-30名观众观摩决赛，通过“贵州统计发布”APP对参赛作品进行投票，每种类型作品获得票数最高者获得“最受关注奖”。</w:t>
      </w:r>
    </w:p>
    <w:p>
      <w:pPr>
        <w:tabs>
          <w:tab w:val="left" w:pos="3135"/>
        </w:tabs>
        <w:spacing w:line="540" w:lineRule="exact"/>
        <w:ind w:firstLine="72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颁奖典礼：</w:t>
      </w:r>
      <w:r>
        <w:rPr>
          <w:rFonts w:hint="eastAsia" w:ascii="仿宋_GB2312" w:hAnsi="仿宋_GB2312" w:eastAsia="仿宋_GB2312" w:cs="仿宋_GB2312"/>
          <w:sz w:val="32"/>
          <w:szCs w:val="32"/>
        </w:rPr>
        <w:t>现场统计评分结果，</w:t>
      </w:r>
      <w:r>
        <w:rPr>
          <w:rFonts w:hint="eastAsia" w:ascii="仿宋_GB2312" w:hAnsi="仿宋_GB2312" w:eastAsia="仿宋_GB2312" w:cs="仿宋_GB2312"/>
          <w:color w:val="000000"/>
          <w:sz w:val="32"/>
          <w:szCs w:val="32"/>
        </w:rPr>
        <w:t>确定获得奖项作品名单，并举行颁奖典礼。</w:t>
      </w:r>
    </w:p>
    <w:p>
      <w:pPr>
        <w:spacing w:line="540" w:lineRule="exact"/>
        <w:ind w:firstLine="643"/>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六、校赛奖项设置</w:t>
      </w:r>
    </w:p>
    <w:p>
      <w:pPr>
        <w:tabs>
          <w:tab w:val="left" w:pos="3135"/>
        </w:tabs>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1.作品奖。</w:t>
      </w:r>
    </w:p>
    <w:p>
      <w:pPr>
        <w:tabs>
          <w:tab w:val="left" w:pos="3135"/>
        </w:tabs>
        <w:spacing w:line="54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按照作品不同的表现形式分设奖项。即静态图片、动态作品各设一等奖2名、二等奖3名、三等奖5名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优秀奖10名</w:t>
      </w:r>
      <w:r>
        <w:rPr>
          <w:rFonts w:hint="eastAsia" w:ascii="仿宋_GB2312" w:hAnsi="仿宋_GB2312" w:eastAsia="仿宋_GB2312" w:cs="仿宋_GB2312"/>
          <w:color w:val="000000"/>
          <w:sz w:val="32"/>
          <w:szCs w:val="32"/>
        </w:rPr>
        <w:t>。</w:t>
      </w:r>
    </w:p>
    <w:p>
      <w:pPr>
        <w:spacing w:line="540" w:lineRule="exact"/>
        <w:ind w:firstLine="643"/>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七、省赛奖项设置</w:t>
      </w:r>
    </w:p>
    <w:p>
      <w:pPr>
        <w:tabs>
          <w:tab w:val="left" w:pos="3135"/>
        </w:tabs>
        <w:spacing w:line="54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作品奖</w:t>
      </w:r>
    </w:p>
    <w:p>
      <w:pPr>
        <w:tabs>
          <w:tab w:val="left" w:pos="3135"/>
        </w:tabs>
        <w:spacing w:line="540" w:lineRule="exact"/>
        <w:ind w:left="17" w:leftChars="8" w:firstLine="617" w:firstLineChars="193"/>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各赛道分设奖项，每个赛道一等奖2支队伍、二等奖3支队伍、入围决赛剩余队伍均为三等奖，</w:t>
      </w:r>
      <w:r>
        <w:rPr>
          <w:rFonts w:hint="eastAsia" w:ascii="仿宋_GB2312" w:hAnsi="仿宋_GB2312" w:eastAsia="仿宋_GB2312" w:cs="仿宋_GB2312"/>
          <w:sz w:val="32"/>
          <w:szCs w:val="32"/>
        </w:rPr>
        <w:t>最佳关注奖1支队伍。</w:t>
      </w:r>
    </w:p>
    <w:p>
      <w:pPr>
        <w:tabs>
          <w:tab w:val="left" w:pos="3135"/>
        </w:tabs>
        <w:spacing w:line="540" w:lineRule="exact"/>
        <w:ind w:left="17" w:leftChars="8" w:firstLine="617" w:firstLineChars="193"/>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组织奖</w:t>
      </w:r>
    </w:p>
    <w:p>
      <w:pPr>
        <w:pStyle w:val="11"/>
        <w:tabs>
          <w:tab w:val="left" w:pos="3135"/>
        </w:tabs>
        <w:spacing w:line="36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根据各高校组织赛事情况推荐一所高校荣获最佳组织奖。</w:t>
      </w:r>
    </w:p>
    <w:p>
      <w:pPr>
        <w:tabs>
          <w:tab w:val="left" w:pos="3135"/>
        </w:tabs>
        <w:spacing w:line="540" w:lineRule="exact"/>
        <w:ind w:left="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指导老师奖</w:t>
      </w:r>
    </w:p>
    <w:p>
      <w:pPr>
        <w:tabs>
          <w:tab w:val="left" w:pos="0"/>
          <w:tab w:val="left" w:pos="3135"/>
        </w:tabs>
        <w:spacing w:line="540" w:lineRule="exact"/>
        <w:ind w:left="17" w:leftChars="8" w:firstLine="617" w:firstLineChars="193"/>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入围决赛队伍指导教师颁发可视化作品优秀指导教师奖证书。</w:t>
      </w:r>
    </w:p>
    <w:p>
      <w:pPr>
        <w:tabs>
          <w:tab w:val="left" w:pos="3135"/>
        </w:tabs>
        <w:wordWrap w:val="0"/>
        <w:spacing w:line="540" w:lineRule="exact"/>
        <w:ind w:firstLine="640"/>
        <w:jc w:val="right"/>
        <w:rPr>
          <w:rFonts w:hint="eastAsia" w:ascii="仿宋_GB2312" w:hAnsi="仿宋_GB2312" w:eastAsia="仿宋_GB2312" w:cs="仿宋_GB2312"/>
          <w:color w:val="000000"/>
          <w:sz w:val="32"/>
          <w:szCs w:val="32"/>
        </w:rPr>
      </w:pPr>
    </w:p>
    <w:p>
      <w:pPr>
        <w:tabs>
          <w:tab w:val="left" w:pos="3135"/>
        </w:tabs>
        <w:wordWrap w:val="0"/>
        <w:spacing w:line="540" w:lineRule="exact"/>
        <w:ind w:firstLine="640"/>
        <w:jc w:val="right"/>
        <w:rPr>
          <w:rFonts w:hint="eastAsia" w:ascii="仿宋_GB2312" w:hAnsi="仿宋_GB2312" w:eastAsia="仿宋_GB2312" w:cs="仿宋_GB2312"/>
          <w:color w:val="000000"/>
          <w:sz w:val="32"/>
          <w:szCs w:val="32"/>
        </w:rPr>
      </w:pPr>
    </w:p>
    <w:p>
      <w:pPr>
        <w:tabs>
          <w:tab w:val="left" w:pos="3135"/>
        </w:tabs>
        <w:wordWrap w:val="0"/>
        <w:spacing w:line="540" w:lineRule="exact"/>
        <w:ind w:firstLine="640"/>
        <w:jc w:val="right"/>
        <w:rPr>
          <w:rFonts w:hint="eastAsia" w:ascii="仿宋_GB2312" w:hAnsi="仿宋_GB2312" w:eastAsia="仿宋_GB2312" w:cs="仿宋_GB2312"/>
          <w:color w:val="000000"/>
          <w:sz w:val="32"/>
          <w:szCs w:val="32"/>
        </w:rPr>
      </w:pPr>
    </w:p>
    <w:p>
      <w:pPr>
        <w:tabs>
          <w:tab w:val="left" w:pos="3135"/>
        </w:tabs>
        <w:wordWrap w:val="0"/>
        <w:spacing w:line="540" w:lineRule="exact"/>
        <w:ind w:firstLine="640"/>
        <w:jc w:val="right"/>
        <w:rPr>
          <w:rFonts w:hint="eastAsia" w:ascii="仿宋_GB2312" w:hAnsi="仿宋_GB2312" w:eastAsia="仿宋_GB2312" w:cs="仿宋_GB2312"/>
          <w:color w:val="000000"/>
          <w:sz w:val="32"/>
          <w:szCs w:val="32"/>
        </w:rPr>
      </w:pPr>
    </w:p>
    <w:p>
      <w:pPr>
        <w:tabs>
          <w:tab w:val="left" w:pos="3135"/>
        </w:tabs>
        <w:wordWrap w:val="0"/>
        <w:spacing w:line="540" w:lineRule="exact"/>
        <w:ind w:firstLine="64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实践教学中心</w:t>
      </w:r>
    </w:p>
    <w:p>
      <w:pPr>
        <w:tabs>
          <w:tab w:val="left" w:pos="3135"/>
        </w:tabs>
        <w:wordWrap w:val="0"/>
        <w:spacing w:line="540" w:lineRule="exact"/>
        <w:ind w:firstLine="64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管理学院</w:t>
      </w:r>
    </w:p>
    <w:p>
      <w:pPr>
        <w:tabs>
          <w:tab w:val="left" w:pos="3135"/>
        </w:tabs>
        <w:wordWrap w:val="0"/>
        <w:spacing w:line="540" w:lineRule="exact"/>
        <w:ind w:firstLine="64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 xml:space="preserve">日 </w:t>
      </w:r>
      <w:bookmarkStart w:id="1" w:name="_GoBack"/>
      <w:bookmarkEnd w:id="1"/>
      <w:r>
        <w:rPr>
          <w:rFonts w:hint="eastAsia" w:ascii="仿宋_GB2312" w:hAnsi="仿宋_GB2312" w:eastAsia="仿宋_GB2312" w:cs="仿宋_GB2312"/>
          <w:color w:val="000000"/>
          <w:sz w:val="32"/>
          <w:szCs w:val="32"/>
        </w:rPr>
        <w:t xml:space="preserve">     </w:t>
      </w:r>
    </w:p>
    <w:p>
      <w:pPr>
        <w:tabs>
          <w:tab w:val="left" w:pos="3135"/>
        </w:tabs>
        <w:wordWrap/>
        <w:spacing w:line="540" w:lineRule="exact"/>
        <w:ind w:firstLine="640"/>
        <w:jc w:val="right"/>
        <w:rPr>
          <w:rFonts w:hint="eastAsia" w:ascii="仿宋_GB2312" w:hAnsi="仿宋_GB2312" w:eastAsia="仿宋_GB2312" w:cs="仿宋_GB2312"/>
          <w:color w:val="000000"/>
          <w:sz w:val="32"/>
          <w:szCs w:val="32"/>
        </w:rPr>
      </w:pPr>
    </w:p>
    <w:p>
      <w:pPr>
        <w:jc w:val="left"/>
        <w:rPr>
          <w:rFonts w:ascii="仿宋_GB2312" w:hAnsi="仿宋_GB2312" w:eastAsia="仿宋_GB2312" w:cs="仿宋_GB2312"/>
          <w:color w:val="000000"/>
          <w:sz w:val="32"/>
          <w:szCs w:val="3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158287-FF83-4563-85AF-FADC220B4C9F}"/>
  </w:font>
  <w:font w:name="黑体">
    <w:panose1 w:val="02010609060101010101"/>
    <w:charset w:val="86"/>
    <w:family w:val="auto"/>
    <w:pitch w:val="default"/>
    <w:sig w:usb0="800002BF" w:usb1="38CF7CFA" w:usb2="00000016" w:usb3="00000000" w:csb0="00040001" w:csb1="00000000"/>
    <w:embedRegular r:id="rId2" w:fontKey="{AED97FFE-B588-43C3-A708-D562656C17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37BE5C8-0417-444D-BC48-1DDDD2DCFB86}"/>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4" w:fontKey="{185399D3-8ECF-4E9A-A058-283CDB73148A}"/>
  </w:font>
  <w:font w:name="方正小标宋_GBK">
    <w:panose1 w:val="02000000000000000000"/>
    <w:charset w:val="86"/>
    <w:family w:val="auto"/>
    <w:pitch w:val="default"/>
    <w:sig w:usb0="A00002BF" w:usb1="38CF7CFA" w:usb2="00082016" w:usb3="00000000" w:csb0="00040001" w:csb1="00000000"/>
    <w:embedRegular r:id="rId5" w:fontKey="{7AA2ADBD-CE14-4E56-AB69-A15B011A622C}"/>
  </w:font>
  <w:font w:name="仿宋_GB2312">
    <w:altName w:val="仿宋"/>
    <w:panose1 w:val="02010609030101010101"/>
    <w:charset w:val="86"/>
    <w:family w:val="modern"/>
    <w:pitch w:val="default"/>
    <w:sig w:usb0="00000000" w:usb1="00000000" w:usb2="00000000" w:usb3="00000000" w:csb0="00040000" w:csb1="00000000"/>
    <w:embedRegular r:id="rId6" w:fontKey="{5DFBB7C6-3606-4441-A426-D235420C3EF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498001"/>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2D0FE"/>
    <w:multiLevelType w:val="singleLevel"/>
    <w:tmpl w:val="2C02D0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OTY5NDUzNWFhMjVlOTlhNDY5NzYzYjU3Mzk4YTQifQ=="/>
    <w:docVar w:name="KSO_WPS_MARK_KEY" w:val="2b47735d-6277-4d37-9125-1dbf9e4d850d"/>
  </w:docVars>
  <w:rsids>
    <w:rsidRoot w:val="003A0CD4"/>
    <w:rsid w:val="00022C3E"/>
    <w:rsid w:val="000867BE"/>
    <w:rsid w:val="00186425"/>
    <w:rsid w:val="001A38AA"/>
    <w:rsid w:val="001B2466"/>
    <w:rsid w:val="001F2277"/>
    <w:rsid w:val="00225F96"/>
    <w:rsid w:val="0025045B"/>
    <w:rsid w:val="002A5E5A"/>
    <w:rsid w:val="00363343"/>
    <w:rsid w:val="003A0753"/>
    <w:rsid w:val="003A0CD4"/>
    <w:rsid w:val="003D2D90"/>
    <w:rsid w:val="00540F16"/>
    <w:rsid w:val="00594917"/>
    <w:rsid w:val="00612D8A"/>
    <w:rsid w:val="006C43AE"/>
    <w:rsid w:val="007628B4"/>
    <w:rsid w:val="00815C1E"/>
    <w:rsid w:val="009735E5"/>
    <w:rsid w:val="00A05F7B"/>
    <w:rsid w:val="00A61D2D"/>
    <w:rsid w:val="00A93887"/>
    <w:rsid w:val="00B34B39"/>
    <w:rsid w:val="00BC0D43"/>
    <w:rsid w:val="00BE1A62"/>
    <w:rsid w:val="00DD36E3"/>
    <w:rsid w:val="00E31A29"/>
    <w:rsid w:val="00EB4854"/>
    <w:rsid w:val="00EC43EC"/>
    <w:rsid w:val="00EF3AE2"/>
    <w:rsid w:val="00F2678A"/>
    <w:rsid w:val="018166D3"/>
    <w:rsid w:val="01A21A9D"/>
    <w:rsid w:val="01D6304F"/>
    <w:rsid w:val="02535CBD"/>
    <w:rsid w:val="02D37BCF"/>
    <w:rsid w:val="02E334E5"/>
    <w:rsid w:val="03031491"/>
    <w:rsid w:val="047D1717"/>
    <w:rsid w:val="055E5205"/>
    <w:rsid w:val="0575078D"/>
    <w:rsid w:val="060C6775"/>
    <w:rsid w:val="070E2AFA"/>
    <w:rsid w:val="07B718DF"/>
    <w:rsid w:val="09007A21"/>
    <w:rsid w:val="092625F4"/>
    <w:rsid w:val="0A872C6A"/>
    <w:rsid w:val="0A96708F"/>
    <w:rsid w:val="0D125D4F"/>
    <w:rsid w:val="0EE6290B"/>
    <w:rsid w:val="0FF26B15"/>
    <w:rsid w:val="10BB33AB"/>
    <w:rsid w:val="114371E5"/>
    <w:rsid w:val="114C73D8"/>
    <w:rsid w:val="122431D2"/>
    <w:rsid w:val="12F104A9"/>
    <w:rsid w:val="13272F7A"/>
    <w:rsid w:val="141A2ADF"/>
    <w:rsid w:val="14450C1E"/>
    <w:rsid w:val="16E6103F"/>
    <w:rsid w:val="194903A0"/>
    <w:rsid w:val="19866520"/>
    <w:rsid w:val="19DE008F"/>
    <w:rsid w:val="1B154000"/>
    <w:rsid w:val="1B321A01"/>
    <w:rsid w:val="1BD058DE"/>
    <w:rsid w:val="1BDD4B1E"/>
    <w:rsid w:val="1C407EBA"/>
    <w:rsid w:val="1C511E83"/>
    <w:rsid w:val="1D8A61E1"/>
    <w:rsid w:val="1D9C4C7C"/>
    <w:rsid w:val="1F0E37C5"/>
    <w:rsid w:val="2027280B"/>
    <w:rsid w:val="20362A4E"/>
    <w:rsid w:val="205F7CC2"/>
    <w:rsid w:val="20B770EB"/>
    <w:rsid w:val="21667DBF"/>
    <w:rsid w:val="21B16313"/>
    <w:rsid w:val="21CC7940"/>
    <w:rsid w:val="223707CE"/>
    <w:rsid w:val="23105A18"/>
    <w:rsid w:val="23EF2924"/>
    <w:rsid w:val="243F6497"/>
    <w:rsid w:val="247E455B"/>
    <w:rsid w:val="2582760D"/>
    <w:rsid w:val="25FD4F6E"/>
    <w:rsid w:val="278C564A"/>
    <w:rsid w:val="28A075FF"/>
    <w:rsid w:val="29906469"/>
    <w:rsid w:val="2A0D5708"/>
    <w:rsid w:val="2A27165A"/>
    <w:rsid w:val="2ADA66CC"/>
    <w:rsid w:val="2B0A5203"/>
    <w:rsid w:val="2B6561C7"/>
    <w:rsid w:val="2B8D4326"/>
    <w:rsid w:val="2E975000"/>
    <w:rsid w:val="2ECC1C73"/>
    <w:rsid w:val="2F1B34B3"/>
    <w:rsid w:val="329D4BAF"/>
    <w:rsid w:val="33095DA0"/>
    <w:rsid w:val="33233306"/>
    <w:rsid w:val="33554E3D"/>
    <w:rsid w:val="33E679EC"/>
    <w:rsid w:val="3502519D"/>
    <w:rsid w:val="35943F8A"/>
    <w:rsid w:val="35CF5181"/>
    <w:rsid w:val="367B5207"/>
    <w:rsid w:val="36AA789A"/>
    <w:rsid w:val="36FD79CA"/>
    <w:rsid w:val="3A3F7FAA"/>
    <w:rsid w:val="3A677DAB"/>
    <w:rsid w:val="3AB17449"/>
    <w:rsid w:val="3D047E90"/>
    <w:rsid w:val="3D840F05"/>
    <w:rsid w:val="3E593B3D"/>
    <w:rsid w:val="4002794F"/>
    <w:rsid w:val="409829D5"/>
    <w:rsid w:val="40BC4971"/>
    <w:rsid w:val="42F223AD"/>
    <w:rsid w:val="43A1055A"/>
    <w:rsid w:val="43CA3BDE"/>
    <w:rsid w:val="4488746D"/>
    <w:rsid w:val="459B4F7E"/>
    <w:rsid w:val="46492C2C"/>
    <w:rsid w:val="464949DA"/>
    <w:rsid w:val="484A1C36"/>
    <w:rsid w:val="496C7872"/>
    <w:rsid w:val="4984193E"/>
    <w:rsid w:val="49942410"/>
    <w:rsid w:val="4AFB4933"/>
    <w:rsid w:val="4BAD4CA0"/>
    <w:rsid w:val="4CAD1EED"/>
    <w:rsid w:val="4D5454A4"/>
    <w:rsid w:val="4E0D0524"/>
    <w:rsid w:val="4F0F7663"/>
    <w:rsid w:val="50457CCB"/>
    <w:rsid w:val="509E1B55"/>
    <w:rsid w:val="50A4570B"/>
    <w:rsid w:val="50B415EA"/>
    <w:rsid w:val="50C03AEB"/>
    <w:rsid w:val="50C942EB"/>
    <w:rsid w:val="50E377D9"/>
    <w:rsid w:val="51F36142"/>
    <w:rsid w:val="525C1020"/>
    <w:rsid w:val="52FE4D9E"/>
    <w:rsid w:val="532760A3"/>
    <w:rsid w:val="53803A05"/>
    <w:rsid w:val="53BA6A09"/>
    <w:rsid w:val="54040192"/>
    <w:rsid w:val="541C1980"/>
    <w:rsid w:val="54576514"/>
    <w:rsid w:val="54842DD2"/>
    <w:rsid w:val="55540566"/>
    <w:rsid w:val="558E065B"/>
    <w:rsid w:val="55EC0984"/>
    <w:rsid w:val="55FB55C5"/>
    <w:rsid w:val="564927D4"/>
    <w:rsid w:val="57BA3FF9"/>
    <w:rsid w:val="57F30E97"/>
    <w:rsid w:val="594D4389"/>
    <w:rsid w:val="5A4D6916"/>
    <w:rsid w:val="5AED7BD2"/>
    <w:rsid w:val="5C0276AD"/>
    <w:rsid w:val="5C904CB9"/>
    <w:rsid w:val="5CC11EC4"/>
    <w:rsid w:val="5D4A1060"/>
    <w:rsid w:val="5D5A35EF"/>
    <w:rsid w:val="5EA902B4"/>
    <w:rsid w:val="5F9109BC"/>
    <w:rsid w:val="60B62814"/>
    <w:rsid w:val="62A274F4"/>
    <w:rsid w:val="62BA0ECA"/>
    <w:rsid w:val="634941E6"/>
    <w:rsid w:val="64C319A4"/>
    <w:rsid w:val="65DC0944"/>
    <w:rsid w:val="66F933CD"/>
    <w:rsid w:val="67B657F0"/>
    <w:rsid w:val="67CD56B3"/>
    <w:rsid w:val="692225A6"/>
    <w:rsid w:val="69882257"/>
    <w:rsid w:val="6AC369D9"/>
    <w:rsid w:val="6ADF5030"/>
    <w:rsid w:val="6AF11870"/>
    <w:rsid w:val="6BA3774C"/>
    <w:rsid w:val="6C18550C"/>
    <w:rsid w:val="6CE45F66"/>
    <w:rsid w:val="6D1A2AB8"/>
    <w:rsid w:val="6D5F2E19"/>
    <w:rsid w:val="700C3A44"/>
    <w:rsid w:val="71192018"/>
    <w:rsid w:val="71436346"/>
    <w:rsid w:val="71A36B4F"/>
    <w:rsid w:val="71DB657E"/>
    <w:rsid w:val="727349D0"/>
    <w:rsid w:val="750556C0"/>
    <w:rsid w:val="760E0CC1"/>
    <w:rsid w:val="76301681"/>
    <w:rsid w:val="76DD68F5"/>
    <w:rsid w:val="780836F0"/>
    <w:rsid w:val="7A4A13F7"/>
    <w:rsid w:val="7A513882"/>
    <w:rsid w:val="7A57156E"/>
    <w:rsid w:val="7BA619AB"/>
    <w:rsid w:val="7C8E18CB"/>
    <w:rsid w:val="7C9063B8"/>
    <w:rsid w:val="7CC83BA3"/>
    <w:rsid w:val="7D0E16C7"/>
    <w:rsid w:val="7F431738"/>
    <w:rsid w:val="7F563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宋体"/>
      <w:sz w:val="20"/>
      <w:szCs w:val="20"/>
    </w:rPr>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cs="黑体"/>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列出段落1"/>
    <w:qFormat/>
    <w:uiPriority w:val="0"/>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11">
    <w:name w:val="正文 A"/>
    <w:qFormat/>
    <w:uiPriority w:val="0"/>
    <w:pPr>
      <w:widowControl w:val="0"/>
      <w:jc w:val="both"/>
    </w:pPr>
    <w:rPr>
      <w:rFonts w:ascii="Calibri" w:hAnsi="Calibri" w:eastAsia="Calibri" w:cs="Calibri"/>
      <w:color w:val="000000"/>
      <w:kern w:val="2"/>
      <w:sz w:val="21"/>
      <w:szCs w:val="21"/>
      <w:lang w:val="en-US" w:eastAsia="zh-CN" w:bidi="ar-SA"/>
    </w:rPr>
  </w:style>
  <w:style w:type="character" w:customStyle="1" w:styleId="12">
    <w:name w:val="批注框文本 字符"/>
    <w:basedOn w:val="8"/>
    <w:link w:val="2"/>
    <w:qFormat/>
    <w:uiPriority w:val="99"/>
    <w:rPr>
      <w:sz w:val="18"/>
      <w:szCs w:val="18"/>
    </w:rPr>
  </w:style>
  <w:style w:type="paragraph" w:styleId="13">
    <w:name w:val="List Paragraph"/>
    <w:basedOn w:val="1"/>
    <w:qFormat/>
    <w:uiPriority w:val="99"/>
    <w:pPr>
      <w:ind w:firstLine="420" w:firstLineChars="200"/>
    </w:pPr>
  </w:style>
  <w:style w:type="paragraph" w:customStyle="1" w:styleId="14">
    <w:name w:val="修订1"/>
    <w:qFormat/>
    <w:uiPriority w:val="99"/>
    <w:rPr>
      <w:rFonts w:ascii="Calibri" w:hAnsi="Calibri" w:eastAsia="宋体" w:cs="宋体"/>
      <w:sz w:val="21"/>
      <w:szCs w:val="22"/>
      <w:lang w:val="en-US" w:eastAsia="zh-CN" w:bidi="ar-SA"/>
    </w:rPr>
  </w:style>
  <w:style w:type="character" w:customStyle="1" w:styleId="15">
    <w:name w:val="页眉 字符"/>
    <w:basedOn w:val="8"/>
    <w:link w:val="4"/>
    <w:qFormat/>
    <w:uiPriority w:val="0"/>
    <w:rPr>
      <w:sz w:val="18"/>
      <w:szCs w:val="18"/>
    </w:rPr>
  </w:style>
  <w:style w:type="character" w:customStyle="1" w:styleId="16">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2968</Words>
  <Characters>3093</Characters>
  <Lines>26</Lines>
  <Paragraphs>7</Paragraphs>
  <TotalTime>0</TotalTime>
  <ScaleCrop>false</ScaleCrop>
  <LinksUpToDate>false</LinksUpToDate>
  <CharactersWithSpaces>3199</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2023-10-26T13:50:00Z</dcterms:created>
  <dc:creator>lenovo</dc:creator>
  <cp:lastModifiedBy>王磊</cp:lastModifiedBy>
  <cp:lastPrinted>2024-11-13T07:15:00Z</cp:lastPrinted>
  <dcterms:modified xsi:type="dcterms:W3CDTF">2024-11-18T01:39:37Z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1721E1878F1E4DD88F7D1A65DDF928CA_13</vt:lpwstr>
  </property>
</Properties>
</file>