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CE0801">
      <w:pPr>
        <w:jc w:val="center"/>
        <w:rPr>
          <w:rFonts w:hint="eastAsia" w:ascii="方正公文小标宋" w:hAnsi="方正公文小标宋" w:eastAsia="方正公文小标宋" w:cs="方正公文小标宋"/>
          <w:b/>
          <w:bCs/>
          <w:sz w:val="44"/>
          <w:szCs w:val="44"/>
          <w:lang w:val="en-US" w:eastAsia="zh-CN"/>
        </w:rPr>
      </w:pPr>
      <w:r>
        <w:rPr>
          <w:rFonts w:hint="eastAsia" w:ascii="方正公文小标宋" w:hAnsi="方正公文小标宋" w:eastAsia="方正公文小标宋" w:cs="方正公文小标宋"/>
          <w:b/>
          <w:bCs/>
          <w:sz w:val="44"/>
          <w:szCs w:val="44"/>
          <w:lang w:val="en-US" w:eastAsia="zh-CN"/>
        </w:rPr>
        <w:t>关于做好2024中国—东盟中华经典诵读大赛现场展演有关事项的通知</w:t>
      </w:r>
    </w:p>
    <w:p w14:paraId="230BC54E">
      <w:pPr>
        <w:jc w:val="left"/>
        <w:rPr>
          <w:rFonts w:hint="eastAsia" w:ascii="仿宋" w:hAnsi="仿宋" w:eastAsia="仿宋" w:cs="仿宋"/>
          <w:b/>
          <w:bCs/>
          <w:sz w:val="32"/>
          <w:szCs w:val="32"/>
          <w:lang w:val="en-US" w:eastAsia="zh-CN"/>
        </w:rPr>
      </w:pPr>
    </w:p>
    <w:p w14:paraId="215BE0E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各参赛选手</w:t>
      </w:r>
    </w:p>
    <w:p w14:paraId="18958975">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2024中国—东盟中华经典诵读大赛拟定于2024年11月21日—22日在贵州商学院举办。为充分做好现场展演准备工作，现将有关事项通知如下：</w:t>
      </w:r>
    </w:p>
    <w:p w14:paraId="5CE810AD">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黑体" w:hAnsi="黑体" w:eastAsia="黑体" w:cs="黑体"/>
          <w:b w:val="0"/>
          <w:bCs w:val="0"/>
          <w:sz w:val="32"/>
          <w:szCs w:val="32"/>
          <w:lang w:val="en-US" w:eastAsia="zh-CN"/>
        </w:rPr>
        <w:t>现场展演形式及相关规定</w:t>
      </w:r>
    </w:p>
    <w:p w14:paraId="39A5193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default"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（一）展演形式</w:t>
      </w:r>
    </w:p>
    <w:p w14:paraId="5B6604C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现场展演分为教师组、学生组，均以诵读形式进行现场展演。</w:t>
      </w:r>
    </w:p>
    <w:p w14:paraId="50A869E5">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相关规定</w:t>
      </w:r>
    </w:p>
    <w:p w14:paraId="1B1FF55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1.展演的作品名称须与信息采集表中的名称一致。</w:t>
      </w:r>
    </w:p>
    <w:p w14:paraId="5C7CE1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default" w:ascii="仿宋" w:hAnsi="仿宋" w:eastAsia="仿宋" w:cs="仿宋"/>
          <w:b w:val="0"/>
          <w:bCs w:val="0"/>
          <w:kern w:val="2"/>
          <w:sz w:val="32"/>
          <w:szCs w:val="32"/>
          <w:lang w:val="en-US" w:eastAsia="zh-CN" w:bidi="ar-SA"/>
        </w:rPr>
      </w:pPr>
      <w:r>
        <w:rPr>
          <w:rFonts w:hint="default" w:ascii="仿宋" w:hAnsi="仿宋" w:eastAsia="仿宋" w:cs="仿宋"/>
          <w:b w:val="0"/>
          <w:bCs w:val="0"/>
          <w:kern w:val="2"/>
          <w:sz w:val="32"/>
          <w:szCs w:val="32"/>
          <w:lang w:val="en-US" w:eastAsia="zh-CN" w:bidi="ar-SA"/>
        </w:rPr>
        <w:t>2.</w:t>
      </w:r>
      <w:r>
        <w:rPr>
          <w:rFonts w:hint="eastAsia" w:ascii="仿宋" w:hAnsi="仿宋" w:eastAsia="仿宋" w:cs="仿宋"/>
          <w:b w:val="0"/>
          <w:bCs w:val="0"/>
          <w:kern w:val="2"/>
          <w:sz w:val="32"/>
          <w:szCs w:val="32"/>
          <w:lang w:val="en-US" w:eastAsia="zh-CN" w:bidi="ar-SA"/>
        </w:rPr>
        <w:t>展演作品时长不得超过3分钟。</w:t>
      </w:r>
    </w:p>
    <w:p w14:paraId="06AC842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default" w:ascii="仿宋" w:hAnsi="仿宋" w:eastAsia="仿宋" w:cs="仿宋"/>
          <w:b w:val="0"/>
          <w:bCs w:val="0"/>
          <w:kern w:val="2"/>
          <w:sz w:val="32"/>
          <w:szCs w:val="32"/>
          <w:lang w:val="en-US" w:eastAsia="zh-CN" w:bidi="ar-SA"/>
        </w:rPr>
      </w:pPr>
      <w:r>
        <w:rPr>
          <w:rFonts w:hint="default" w:ascii="仿宋" w:hAnsi="仿宋" w:eastAsia="仿宋" w:cs="仿宋"/>
          <w:b w:val="0"/>
          <w:bCs w:val="0"/>
          <w:kern w:val="2"/>
          <w:sz w:val="32"/>
          <w:szCs w:val="32"/>
          <w:lang w:val="en-US" w:eastAsia="zh-CN" w:bidi="ar-SA"/>
        </w:rPr>
        <w:t>3.</w:t>
      </w:r>
      <w:r>
        <w:rPr>
          <w:rFonts w:hint="eastAsia" w:ascii="仿宋" w:hAnsi="仿宋" w:eastAsia="仿宋" w:cs="仿宋"/>
          <w:b w:val="0"/>
          <w:bCs w:val="0"/>
          <w:kern w:val="2"/>
          <w:sz w:val="32"/>
          <w:szCs w:val="32"/>
          <w:lang w:val="en-US" w:eastAsia="zh-CN" w:bidi="ar-SA"/>
        </w:rPr>
        <w:t>外籍参赛选手原则上采取现场播放视频的形式参与评比。参赛视频可选用初评时的原视频文件，亦可按照要求重新录制并提交。提交视频的截止时间为2024年11月15日。（邮箱地址：</w:t>
      </w:r>
      <w:r>
        <w:rPr>
          <w:rFonts w:hint="eastAsia" w:ascii="仿宋" w:hAnsi="仿宋" w:eastAsia="仿宋" w:cs="仿宋"/>
          <w:b w:val="0"/>
          <w:bCs w:val="0"/>
          <w:kern w:val="2"/>
          <w:sz w:val="32"/>
          <w:szCs w:val="32"/>
          <w:lang w:val="en-US" w:eastAsia="zh-CN" w:bidi="ar-SA"/>
        </w:rPr>
        <w:fldChar w:fldCharType="begin"/>
      </w:r>
      <w:r>
        <w:rPr>
          <w:rFonts w:hint="eastAsia" w:ascii="仿宋" w:hAnsi="仿宋" w:eastAsia="仿宋" w:cs="仿宋"/>
          <w:b w:val="0"/>
          <w:bCs w:val="0"/>
          <w:kern w:val="2"/>
          <w:sz w:val="32"/>
          <w:szCs w:val="32"/>
          <w:lang w:val="en-US" w:eastAsia="zh-CN" w:bidi="ar-SA"/>
        </w:rPr>
        <w:instrText xml:space="preserve"> HYPERLINK "mailto:417605110@qq.com）" </w:instrText>
      </w:r>
      <w:r>
        <w:rPr>
          <w:rFonts w:hint="eastAsia" w:ascii="仿宋" w:hAnsi="仿宋" w:eastAsia="仿宋" w:cs="仿宋"/>
          <w:b w:val="0"/>
          <w:bCs w:val="0"/>
          <w:kern w:val="2"/>
          <w:sz w:val="32"/>
          <w:szCs w:val="32"/>
          <w:lang w:val="en-US" w:eastAsia="zh-CN" w:bidi="ar-SA"/>
        </w:rPr>
        <w:fldChar w:fldCharType="separate"/>
      </w:r>
      <w:r>
        <w:rPr>
          <w:rStyle w:val="8"/>
          <w:rFonts w:hint="eastAsia" w:ascii="仿宋" w:hAnsi="仿宋" w:eastAsia="仿宋" w:cs="仿宋"/>
          <w:b w:val="0"/>
          <w:bCs w:val="0"/>
          <w:kern w:val="2"/>
          <w:sz w:val="32"/>
          <w:szCs w:val="32"/>
          <w:lang w:val="en-US" w:eastAsia="zh-CN" w:bidi="ar-SA"/>
        </w:rPr>
        <w:t>417605110@qq.com）</w:t>
      </w:r>
      <w:r>
        <w:rPr>
          <w:rFonts w:hint="eastAsia" w:ascii="仿宋" w:hAnsi="仿宋" w:eastAsia="仿宋" w:cs="仿宋"/>
          <w:b w:val="0"/>
          <w:bCs w:val="0"/>
          <w:kern w:val="2"/>
          <w:sz w:val="32"/>
          <w:szCs w:val="32"/>
          <w:lang w:val="en-US" w:eastAsia="zh-CN" w:bidi="ar-SA"/>
        </w:rPr>
        <w:fldChar w:fldCharType="end"/>
      </w:r>
    </w:p>
    <w:p w14:paraId="27372FA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default" w:ascii="仿宋" w:hAnsi="仿宋" w:eastAsia="仿宋" w:cs="仿宋"/>
          <w:b w:val="0"/>
          <w:bCs w:val="0"/>
          <w:kern w:val="2"/>
          <w:sz w:val="32"/>
          <w:szCs w:val="32"/>
          <w:lang w:val="en-US" w:eastAsia="zh-CN" w:bidi="ar-SA"/>
        </w:rPr>
      </w:pPr>
      <w:r>
        <w:rPr>
          <w:rFonts w:hint="default" w:ascii="仿宋" w:hAnsi="仿宋" w:eastAsia="仿宋" w:cs="仿宋"/>
          <w:b w:val="0"/>
          <w:bCs w:val="0"/>
          <w:kern w:val="2"/>
          <w:sz w:val="32"/>
          <w:szCs w:val="32"/>
          <w:lang w:val="en-US" w:eastAsia="zh-CN" w:bidi="ar-SA"/>
        </w:rPr>
        <w:t>4.</w:t>
      </w:r>
      <w:r>
        <w:rPr>
          <w:rFonts w:hint="eastAsia" w:ascii="仿宋" w:hAnsi="仿宋" w:eastAsia="仿宋" w:cs="仿宋"/>
          <w:b w:val="0"/>
          <w:bCs w:val="0"/>
          <w:kern w:val="2"/>
          <w:sz w:val="32"/>
          <w:szCs w:val="32"/>
          <w:lang w:val="en-US" w:eastAsia="zh-CN" w:bidi="ar-SA"/>
        </w:rPr>
        <w:t>参评作品将按照抽签顺序逐一进行现场评比。每位参赛选手（无论是团队还是个人）诵读结束后，评委将立即进行现场打分。计分员负责收集评分卡并计算分数，每五位选手展示完毕后，主持人将宣布他们的得分。</w:t>
      </w:r>
    </w:p>
    <w:p w14:paraId="02CAEE85">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640" w:firstLineChars="200"/>
        <w:jc w:val="left"/>
        <w:textAlignment w:val="auto"/>
        <w:rPr>
          <w:rFonts w:hint="eastAsia" w:ascii="仿宋" w:hAnsi="仿宋" w:eastAsia="仿宋" w:cs="仿宋"/>
          <w:b w:val="0"/>
          <w:bCs w:val="0"/>
          <w:sz w:val="32"/>
          <w:szCs w:val="32"/>
          <w:lang w:val="en-US" w:eastAsia="zh-CN"/>
        </w:rPr>
      </w:pPr>
      <w:r>
        <w:rPr>
          <w:rFonts w:hint="eastAsia" w:ascii="黑体" w:hAnsi="黑体" w:eastAsia="黑体" w:cs="黑体"/>
          <w:b w:val="0"/>
          <w:bCs w:val="0"/>
          <w:sz w:val="32"/>
          <w:szCs w:val="32"/>
          <w:lang w:val="en-US" w:eastAsia="zh-CN"/>
        </w:rPr>
        <w:t>现场展演日程安排</w:t>
      </w:r>
    </w:p>
    <w:p w14:paraId="2D8BAB6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现场展演活动为期两天，包括开闭幕式及入围作品现场评比（日程安排详见附件1），具体参评作品详见（2024中国—东盟中华经典诵读大赛（教师组、学生组）入围公示名单）。</w:t>
      </w:r>
    </w:p>
    <w:p w14:paraId="089455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闭幕式上，将精选部分优秀作品进行展演，并为获奖者颁发奖杯（入围及获奖证书将在展演后30天内，通过邮寄方式寄出）。</w:t>
      </w:r>
    </w:p>
    <w:p w14:paraId="1962F0D6">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640" w:firstLineChars="200"/>
        <w:jc w:val="left"/>
        <w:textAlignment w:val="auto"/>
        <w:rPr>
          <w:rFonts w:hint="eastAsia" w:ascii="仿宋" w:hAnsi="仿宋" w:eastAsia="仿宋" w:cs="仿宋"/>
          <w:b w:val="0"/>
          <w:bCs w:val="0"/>
          <w:sz w:val="32"/>
          <w:szCs w:val="32"/>
          <w:lang w:val="en-US" w:eastAsia="zh-CN"/>
        </w:rPr>
      </w:pPr>
      <w:r>
        <w:rPr>
          <w:rFonts w:hint="eastAsia" w:ascii="黑体" w:hAnsi="黑体" w:eastAsia="黑体" w:cs="黑体"/>
          <w:b w:val="0"/>
          <w:bCs w:val="0"/>
          <w:sz w:val="32"/>
          <w:szCs w:val="32"/>
          <w:lang w:val="en-US" w:eastAsia="zh-CN"/>
        </w:rPr>
        <w:t>现场展演信息采集</w:t>
      </w:r>
    </w:p>
    <w:p w14:paraId="6A0DFB2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各参赛选手根据相关通知要求，及时填写《2024中国—东盟中华经典诵读大赛现场展演作品信息采集表现场展演作品信息采集表》（附件2），截止时间为11月10日8:30至11月14日24:00。</w:t>
      </w:r>
      <w:r>
        <w:rPr>
          <w:rFonts w:hint="eastAsia" w:ascii="仿宋" w:hAnsi="仿宋" w:eastAsia="仿宋" w:cs="仿宋"/>
          <w:b w:val="0"/>
          <w:bCs w:val="0"/>
          <w:kern w:val="2"/>
          <w:sz w:val="32"/>
          <w:szCs w:val="32"/>
          <w:lang w:val="en-US" w:eastAsia="zh-CN" w:bidi="ar-SA"/>
        </w:rPr>
        <w:t>（发送邮箱地址：</w:t>
      </w:r>
      <w:r>
        <w:rPr>
          <w:rFonts w:hint="eastAsia" w:ascii="仿宋" w:hAnsi="仿宋" w:eastAsia="仿宋" w:cs="仿宋"/>
          <w:b w:val="0"/>
          <w:bCs w:val="0"/>
          <w:kern w:val="2"/>
          <w:sz w:val="32"/>
          <w:szCs w:val="32"/>
          <w:lang w:val="en-US" w:eastAsia="zh-CN" w:bidi="ar-SA"/>
        </w:rPr>
        <w:fldChar w:fldCharType="begin"/>
      </w:r>
      <w:r>
        <w:rPr>
          <w:rFonts w:hint="eastAsia" w:ascii="仿宋" w:hAnsi="仿宋" w:eastAsia="仿宋" w:cs="仿宋"/>
          <w:b w:val="0"/>
          <w:bCs w:val="0"/>
          <w:kern w:val="2"/>
          <w:sz w:val="32"/>
          <w:szCs w:val="32"/>
          <w:lang w:val="en-US" w:eastAsia="zh-CN" w:bidi="ar-SA"/>
        </w:rPr>
        <w:instrText xml:space="preserve"> HYPERLINK "mailto:417605110@qq.com）" </w:instrText>
      </w:r>
      <w:r>
        <w:rPr>
          <w:rFonts w:hint="eastAsia" w:ascii="仿宋" w:hAnsi="仿宋" w:eastAsia="仿宋" w:cs="仿宋"/>
          <w:b w:val="0"/>
          <w:bCs w:val="0"/>
          <w:kern w:val="2"/>
          <w:sz w:val="32"/>
          <w:szCs w:val="32"/>
          <w:lang w:val="en-US" w:eastAsia="zh-CN" w:bidi="ar-SA"/>
        </w:rPr>
        <w:fldChar w:fldCharType="separate"/>
      </w:r>
      <w:r>
        <w:rPr>
          <w:rStyle w:val="8"/>
          <w:rFonts w:hint="eastAsia" w:ascii="仿宋" w:hAnsi="仿宋" w:eastAsia="仿宋" w:cs="仿宋"/>
          <w:b w:val="0"/>
          <w:bCs w:val="0"/>
          <w:kern w:val="2"/>
          <w:sz w:val="32"/>
          <w:szCs w:val="32"/>
          <w:lang w:val="en-US" w:eastAsia="zh-CN" w:bidi="ar-SA"/>
        </w:rPr>
        <w:t>417605110@qq.com）</w:t>
      </w:r>
      <w:r>
        <w:rPr>
          <w:rFonts w:hint="eastAsia" w:ascii="仿宋" w:hAnsi="仿宋" w:eastAsia="仿宋" w:cs="仿宋"/>
          <w:b w:val="0"/>
          <w:bCs w:val="0"/>
          <w:kern w:val="2"/>
          <w:sz w:val="32"/>
          <w:szCs w:val="32"/>
          <w:lang w:val="en-US" w:eastAsia="zh-CN" w:bidi="ar-SA"/>
        </w:rPr>
        <w:fldChar w:fldCharType="end"/>
      </w:r>
    </w:p>
    <w:p w14:paraId="49059537">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人员报到安排及相关工作提醒</w:t>
      </w:r>
    </w:p>
    <w:p w14:paraId="67DCCC3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一）参演师生领队于2024年11月20日下午三点到贵州商学院静心湖会议中心参加领队会，按教师组、学生组分别抽签，依次上台表演。所有参赛作品需健康向上，内容符合社会主义核心价值观，展现积极健康的青春活力与和谐氛围。</w:t>
      </w:r>
    </w:p>
    <w:p w14:paraId="0CAA1A2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（二）走台时间：2024年11月20日</w:t>
      </w:r>
    </w:p>
    <w:p w14:paraId="3A3AB0B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上午：9:00—12:00</w:t>
      </w:r>
    </w:p>
    <w:p w14:paraId="6D0D921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下午：2:00—6:00</w:t>
      </w:r>
    </w:p>
    <w:p w14:paraId="01C4C0E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晚上：7:00—9:00</w:t>
      </w:r>
    </w:p>
    <w:p w14:paraId="349D785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请各参赛队在现场工作人员的组织引导下有序进行。</w:t>
      </w:r>
    </w:p>
    <w:p w14:paraId="7285CCC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（三）现场展演期间，参加展演师生食宿费，往返交通费用由派出单位负责。</w:t>
      </w:r>
    </w:p>
    <w:p w14:paraId="3A53D83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（四）未尽事宜后续另行通知。</w:t>
      </w:r>
    </w:p>
    <w:p w14:paraId="2FD3299E">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联系人及联系方式</w:t>
      </w:r>
    </w:p>
    <w:p w14:paraId="50EFC82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联系人：赵老师     联系方式：17586526190</w:t>
      </w:r>
    </w:p>
    <w:p w14:paraId="72A1263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40" w:firstLineChars="200"/>
        <w:jc w:val="left"/>
        <w:textAlignment w:val="auto"/>
        <w:rPr>
          <w:rFonts w:hint="eastAsia" w:ascii="仿宋" w:hAnsi="仿宋" w:eastAsia="仿宋" w:cs="仿宋"/>
          <w:b w:val="0"/>
          <w:bCs w:val="0"/>
          <w:sz w:val="32"/>
          <w:szCs w:val="32"/>
          <w:lang w:val="en-US" w:eastAsia="zh-CN"/>
        </w:rPr>
      </w:pPr>
    </w:p>
    <w:p w14:paraId="67FF219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sz w:val="32"/>
          <w:szCs w:val="32"/>
          <w:lang w:val="en-US" w:eastAsia="zh-CN"/>
        </w:rPr>
      </w:pPr>
    </w:p>
    <w:p w14:paraId="545AA0D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sz w:val="32"/>
          <w:szCs w:val="32"/>
          <w:lang w:val="en-US" w:eastAsia="zh-CN"/>
        </w:rPr>
      </w:pPr>
    </w:p>
    <w:p w14:paraId="16EF45E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40" w:firstLineChars="200"/>
        <w:jc w:val="left"/>
        <w:textAlignment w:val="auto"/>
        <w:rPr>
          <w:rFonts w:hint="eastAsia" w:ascii="仿宋" w:hAnsi="仿宋" w:eastAsia="仿宋" w:cs="仿宋"/>
          <w:b w:val="0"/>
          <w:bCs w:val="0"/>
          <w:sz w:val="32"/>
          <w:szCs w:val="32"/>
          <w:lang w:val="en-US" w:eastAsia="zh-CN"/>
        </w:rPr>
      </w:pPr>
    </w:p>
    <w:p w14:paraId="1E961C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918" w:leftChars="304" w:right="-420" w:rightChars="-200" w:hanging="1280" w:hangingChars="400"/>
        <w:jc w:val="left"/>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附件：1.2024中国—东盟中华经典诵读大赛日程表（暂定）</w:t>
      </w:r>
    </w:p>
    <w:p w14:paraId="29D442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598" w:leftChars="304" w:right="-630" w:rightChars="-300" w:hanging="960" w:hangingChars="3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      2.2024中国—东盟中华经典诵读大赛现场展演作品</w:t>
      </w:r>
      <w:bookmarkStart w:id="0" w:name="_GoBack"/>
      <w:bookmarkEnd w:id="0"/>
      <w:r>
        <w:rPr>
          <w:rFonts w:hint="eastAsia" w:ascii="仿宋" w:hAnsi="仿宋" w:eastAsia="仿宋" w:cs="仿宋"/>
          <w:b w:val="0"/>
          <w:bCs w:val="0"/>
          <w:sz w:val="32"/>
          <w:szCs w:val="32"/>
          <w:lang w:val="en-US" w:eastAsia="zh-CN"/>
        </w:rPr>
        <w:t>信息采集表</w:t>
      </w:r>
    </w:p>
    <w:p w14:paraId="00BDE0DC">
      <w:pPr>
        <w:pStyle w:val="2"/>
        <w:spacing w:before="200" w:line="172" w:lineRule="auto"/>
        <w:jc w:val="center"/>
        <w:rPr>
          <w:rFonts w:hint="eastAsia" w:ascii="黑体" w:hAnsi="黑体" w:eastAsia="黑体" w:cs="黑体"/>
          <w:sz w:val="36"/>
          <w:szCs w:val="36"/>
        </w:rPr>
      </w:pPr>
    </w:p>
    <w:p w14:paraId="7DF786F4">
      <w:pPr>
        <w:pStyle w:val="2"/>
        <w:spacing w:before="200" w:line="172" w:lineRule="auto"/>
        <w:jc w:val="center"/>
        <w:rPr>
          <w:rFonts w:hint="eastAsia" w:ascii="黑体" w:hAnsi="黑体" w:eastAsia="黑体" w:cs="黑体"/>
          <w:sz w:val="36"/>
          <w:szCs w:val="36"/>
        </w:rPr>
      </w:pPr>
    </w:p>
    <w:p w14:paraId="0C5B8A59">
      <w:pPr>
        <w:pStyle w:val="2"/>
        <w:spacing w:before="200" w:line="172" w:lineRule="auto"/>
        <w:jc w:val="center"/>
        <w:rPr>
          <w:rFonts w:hint="eastAsia" w:ascii="黑体" w:hAnsi="黑体" w:eastAsia="黑体" w:cs="黑体"/>
          <w:sz w:val="36"/>
          <w:szCs w:val="36"/>
        </w:rPr>
      </w:pPr>
    </w:p>
    <w:p w14:paraId="2273627E">
      <w:pPr>
        <w:pStyle w:val="2"/>
        <w:spacing w:before="200" w:line="172" w:lineRule="auto"/>
        <w:jc w:val="center"/>
        <w:rPr>
          <w:rFonts w:hint="eastAsia" w:ascii="黑体" w:hAnsi="黑体" w:eastAsia="黑体" w:cs="黑体"/>
          <w:sz w:val="36"/>
          <w:szCs w:val="36"/>
        </w:rPr>
      </w:pPr>
    </w:p>
    <w:p w14:paraId="174ABF63">
      <w:pPr>
        <w:pStyle w:val="2"/>
        <w:spacing w:before="200" w:line="172" w:lineRule="auto"/>
        <w:jc w:val="center"/>
        <w:rPr>
          <w:rFonts w:hint="eastAsia" w:ascii="黑体" w:hAnsi="黑体" w:eastAsia="黑体" w:cs="黑体"/>
          <w:sz w:val="36"/>
          <w:szCs w:val="36"/>
        </w:rPr>
      </w:pPr>
    </w:p>
    <w:p w14:paraId="457AA5BF">
      <w:pPr>
        <w:pStyle w:val="2"/>
        <w:spacing w:before="200" w:line="172" w:lineRule="auto"/>
        <w:jc w:val="center"/>
        <w:rPr>
          <w:rFonts w:hint="eastAsia" w:ascii="黑体" w:hAnsi="黑体" w:eastAsia="黑体" w:cs="黑体"/>
          <w:sz w:val="36"/>
          <w:szCs w:val="36"/>
        </w:rPr>
      </w:pPr>
    </w:p>
    <w:p w14:paraId="4B49CB38">
      <w:pPr>
        <w:pStyle w:val="2"/>
        <w:spacing w:before="200" w:line="172" w:lineRule="auto"/>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14:paraId="09120302">
      <w:pPr>
        <w:pStyle w:val="2"/>
        <w:spacing w:before="200" w:line="172" w:lineRule="auto"/>
        <w:jc w:val="center"/>
        <w:rPr>
          <w:rFonts w:hint="eastAsia" w:ascii="黑体" w:hAnsi="黑体" w:eastAsia="黑体" w:cs="黑体"/>
          <w:sz w:val="36"/>
          <w:szCs w:val="36"/>
        </w:rPr>
      </w:pPr>
    </w:p>
    <w:p w14:paraId="5110C0A7">
      <w:pPr>
        <w:pStyle w:val="2"/>
        <w:spacing w:before="200" w:line="172" w:lineRule="auto"/>
        <w:jc w:val="center"/>
        <w:rPr>
          <w:rFonts w:hint="eastAsia" w:ascii="黑体" w:hAnsi="黑体" w:eastAsia="黑体" w:cs="黑体"/>
          <w:sz w:val="36"/>
          <w:szCs w:val="36"/>
        </w:rPr>
      </w:pPr>
    </w:p>
    <w:p w14:paraId="66BF3B4B">
      <w:pPr>
        <w:pStyle w:val="2"/>
        <w:spacing w:before="200" w:line="172" w:lineRule="auto"/>
        <w:jc w:val="both"/>
        <w:rPr>
          <w:rFonts w:hint="default" w:ascii="黑体" w:hAnsi="黑体" w:eastAsia="黑体" w:cs="黑体"/>
          <w:sz w:val="36"/>
          <w:szCs w:val="36"/>
          <w:lang w:val="en-US" w:eastAsia="zh-CN"/>
        </w:rPr>
      </w:pPr>
      <w:r>
        <w:rPr>
          <w:rFonts w:hint="eastAsia" w:ascii="黑体" w:hAnsi="黑体" w:eastAsia="黑体" w:cs="黑体"/>
          <w:sz w:val="36"/>
          <w:szCs w:val="36"/>
          <w:lang w:eastAsia="zh-CN"/>
        </w:rPr>
        <w:t>附件</w:t>
      </w:r>
      <w:r>
        <w:rPr>
          <w:rFonts w:hint="eastAsia" w:ascii="黑体" w:hAnsi="黑体" w:eastAsia="黑体" w:cs="黑体"/>
          <w:sz w:val="36"/>
          <w:szCs w:val="36"/>
          <w:lang w:val="en-US" w:eastAsia="zh-CN"/>
        </w:rPr>
        <w:t>1</w:t>
      </w:r>
    </w:p>
    <w:p w14:paraId="72D39753">
      <w:pPr>
        <w:pStyle w:val="2"/>
        <w:spacing w:before="200" w:line="172" w:lineRule="auto"/>
        <w:jc w:val="center"/>
        <w:rPr>
          <w:rFonts w:hint="eastAsia" w:ascii="黑体" w:hAnsi="黑体" w:eastAsia="黑体" w:cs="黑体"/>
          <w:sz w:val="36"/>
          <w:szCs w:val="36"/>
        </w:rPr>
      </w:pPr>
      <w:r>
        <w:rPr>
          <w:rFonts w:hint="eastAsia" w:ascii="黑体" w:hAnsi="黑体" w:eastAsia="黑体" w:cs="黑体"/>
          <w:sz w:val="36"/>
          <w:szCs w:val="36"/>
        </w:rPr>
        <w:t>2024中国</w:t>
      </w:r>
      <w:r>
        <w:rPr>
          <w:rFonts w:hint="eastAsia" w:ascii="黑体" w:hAnsi="黑体" w:eastAsia="黑体" w:cs="黑体"/>
          <w:sz w:val="36"/>
          <w:szCs w:val="36"/>
          <w:lang w:eastAsia="zh-CN"/>
        </w:rPr>
        <w:t>—</w:t>
      </w:r>
      <w:r>
        <w:rPr>
          <w:rFonts w:hint="eastAsia" w:ascii="黑体" w:hAnsi="黑体" w:eastAsia="黑体" w:cs="黑体"/>
          <w:sz w:val="36"/>
          <w:szCs w:val="36"/>
        </w:rPr>
        <w:t>东盟</w:t>
      </w:r>
      <w:r>
        <w:rPr>
          <w:rFonts w:hint="eastAsia" w:ascii="黑体" w:hAnsi="黑体" w:eastAsia="黑体" w:cs="黑体"/>
          <w:sz w:val="36"/>
          <w:szCs w:val="36"/>
          <w:lang w:eastAsia="zh-CN"/>
        </w:rPr>
        <w:t>中华</w:t>
      </w:r>
      <w:r>
        <w:rPr>
          <w:rFonts w:hint="eastAsia" w:ascii="黑体" w:hAnsi="黑体" w:eastAsia="黑体" w:cs="黑体"/>
          <w:sz w:val="36"/>
          <w:szCs w:val="36"/>
        </w:rPr>
        <w:t>经典诵读大赛</w:t>
      </w:r>
    </w:p>
    <w:p w14:paraId="10095088">
      <w:pPr>
        <w:pStyle w:val="2"/>
        <w:spacing w:before="200" w:line="172" w:lineRule="auto"/>
        <w:jc w:val="center"/>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日程表（暂定）</w:t>
      </w:r>
    </w:p>
    <w:tbl>
      <w:tblPr>
        <w:tblStyle w:val="9"/>
        <w:tblW w:w="10746" w:type="dxa"/>
        <w:tblInd w:w="-120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90"/>
        <w:gridCol w:w="1432"/>
        <w:gridCol w:w="2458"/>
        <w:gridCol w:w="1613"/>
        <w:gridCol w:w="3653"/>
      </w:tblGrid>
      <w:tr w14:paraId="709C89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5" w:hRule="atLeast"/>
        </w:trPr>
        <w:tc>
          <w:tcPr>
            <w:tcW w:w="10746" w:type="dxa"/>
            <w:gridSpan w:val="5"/>
            <w:noWrap w:val="0"/>
            <w:vAlign w:val="center"/>
          </w:tcPr>
          <w:p w14:paraId="377785EC">
            <w:pPr>
              <w:spacing w:before="219" w:line="166" w:lineRule="auto"/>
              <w:jc w:val="center"/>
              <w:rPr>
                <w:rFonts w:ascii="微软雅黑" w:hAnsi="微软雅黑" w:eastAsia="微软雅黑" w:cs="微软雅黑"/>
                <w:sz w:val="28"/>
                <w:szCs w:val="28"/>
              </w:rPr>
            </w:pPr>
            <w:r>
              <w:rPr>
                <w:rFonts w:hint="eastAsia" w:ascii="仿宋" w:hAnsi="仿宋" w:eastAsia="仿宋" w:cs="仿宋"/>
                <w:b/>
                <w:bCs/>
                <w:spacing w:val="-10"/>
                <w:sz w:val="28"/>
                <w:szCs w:val="28"/>
              </w:rPr>
              <w:t>中文日程</w:t>
            </w:r>
          </w:p>
        </w:tc>
      </w:tr>
      <w:tr w14:paraId="6B6FAE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1590" w:type="dxa"/>
            <w:tcBorders>
              <w:bottom w:val="single" w:color="auto" w:sz="4" w:space="0"/>
            </w:tcBorders>
            <w:noWrap w:val="0"/>
            <w:vAlign w:val="center"/>
          </w:tcPr>
          <w:p w14:paraId="78581A1E">
            <w:pPr>
              <w:spacing w:before="121" w:line="176" w:lineRule="auto"/>
              <w:jc w:val="center"/>
              <w:rPr>
                <w:rFonts w:hint="eastAsia" w:ascii="仿宋" w:hAnsi="仿宋" w:eastAsia="仿宋" w:cs="仿宋"/>
                <w:b/>
                <w:bCs/>
                <w:snapToGrid w:val="0"/>
                <w:color w:val="000000"/>
                <w:spacing w:val="2"/>
                <w:kern w:val="0"/>
                <w:sz w:val="28"/>
                <w:szCs w:val="28"/>
                <w:lang w:val="en-US" w:eastAsia="zh-CN" w:bidi="ar-SA"/>
              </w:rPr>
            </w:pPr>
            <w:r>
              <w:rPr>
                <w:rFonts w:hint="eastAsia" w:ascii="仿宋" w:hAnsi="仿宋" w:eastAsia="仿宋" w:cs="仿宋"/>
                <w:b/>
                <w:bCs/>
                <w:snapToGrid w:val="0"/>
                <w:color w:val="000000"/>
                <w:spacing w:val="2"/>
                <w:kern w:val="0"/>
                <w:sz w:val="28"/>
                <w:szCs w:val="28"/>
                <w:lang w:val="en-US" w:eastAsia="zh-CN" w:bidi="ar-SA"/>
              </w:rPr>
              <w:t>日  期</w:t>
            </w:r>
          </w:p>
        </w:tc>
        <w:tc>
          <w:tcPr>
            <w:tcW w:w="1432" w:type="dxa"/>
            <w:tcBorders>
              <w:bottom w:val="single" w:color="auto" w:sz="4" w:space="0"/>
            </w:tcBorders>
            <w:noWrap w:val="0"/>
            <w:vAlign w:val="center"/>
          </w:tcPr>
          <w:p w14:paraId="2F5F6584">
            <w:pPr>
              <w:spacing w:before="120" w:line="181" w:lineRule="auto"/>
              <w:jc w:val="center"/>
              <w:rPr>
                <w:rFonts w:hint="eastAsia" w:ascii="仿宋" w:hAnsi="仿宋" w:eastAsia="仿宋" w:cs="仿宋"/>
                <w:b/>
                <w:bCs/>
                <w:snapToGrid w:val="0"/>
                <w:color w:val="000000"/>
                <w:spacing w:val="2"/>
                <w:kern w:val="0"/>
                <w:sz w:val="28"/>
                <w:szCs w:val="28"/>
                <w:lang w:val="en-US" w:eastAsia="zh-CN" w:bidi="ar-SA"/>
              </w:rPr>
            </w:pPr>
            <w:r>
              <w:rPr>
                <w:rFonts w:hint="eastAsia" w:ascii="仿宋" w:hAnsi="仿宋" w:eastAsia="仿宋" w:cs="仿宋"/>
                <w:b/>
                <w:bCs/>
                <w:snapToGrid w:val="0"/>
                <w:color w:val="000000"/>
                <w:spacing w:val="2"/>
                <w:kern w:val="0"/>
                <w:sz w:val="28"/>
                <w:szCs w:val="28"/>
                <w:lang w:val="en-US" w:eastAsia="zh-CN" w:bidi="ar-SA"/>
              </w:rPr>
              <w:t>时 间</w:t>
            </w:r>
          </w:p>
        </w:tc>
        <w:tc>
          <w:tcPr>
            <w:tcW w:w="2458" w:type="dxa"/>
            <w:tcBorders>
              <w:bottom w:val="single" w:color="auto" w:sz="4" w:space="0"/>
            </w:tcBorders>
            <w:noWrap w:val="0"/>
            <w:vAlign w:val="center"/>
          </w:tcPr>
          <w:p w14:paraId="6082E8C3">
            <w:pPr>
              <w:spacing w:before="120" w:line="182" w:lineRule="auto"/>
              <w:jc w:val="center"/>
              <w:rPr>
                <w:rFonts w:hint="eastAsia" w:ascii="仿宋" w:hAnsi="仿宋" w:eastAsia="仿宋" w:cs="仿宋"/>
                <w:b/>
                <w:bCs/>
                <w:snapToGrid w:val="0"/>
                <w:color w:val="000000"/>
                <w:spacing w:val="2"/>
                <w:kern w:val="0"/>
                <w:sz w:val="28"/>
                <w:szCs w:val="28"/>
                <w:lang w:val="en-US" w:eastAsia="zh-CN" w:bidi="ar-SA"/>
              </w:rPr>
            </w:pPr>
            <w:r>
              <w:rPr>
                <w:rFonts w:hint="eastAsia" w:ascii="仿宋" w:hAnsi="仿宋" w:eastAsia="仿宋" w:cs="仿宋"/>
                <w:b/>
                <w:bCs/>
                <w:snapToGrid w:val="0"/>
                <w:color w:val="000000"/>
                <w:spacing w:val="2"/>
                <w:kern w:val="0"/>
                <w:sz w:val="28"/>
                <w:szCs w:val="28"/>
                <w:lang w:val="en-US" w:eastAsia="zh-CN" w:bidi="ar-SA"/>
              </w:rPr>
              <w:t>活动内容</w:t>
            </w:r>
          </w:p>
        </w:tc>
        <w:tc>
          <w:tcPr>
            <w:tcW w:w="1613" w:type="dxa"/>
            <w:tcBorders>
              <w:bottom w:val="single" w:color="auto" w:sz="4" w:space="0"/>
            </w:tcBorders>
            <w:noWrap w:val="0"/>
            <w:vAlign w:val="center"/>
          </w:tcPr>
          <w:p w14:paraId="7F640E31">
            <w:pPr>
              <w:keepNext w:val="0"/>
              <w:keepLines w:val="0"/>
              <w:pageBreakBefore w:val="0"/>
              <w:widowControl/>
              <w:kinsoku w:val="0"/>
              <w:wordWrap/>
              <w:overflowPunct/>
              <w:topLinePunct w:val="0"/>
              <w:autoSpaceDE w:val="0"/>
              <w:autoSpaceDN w:val="0"/>
              <w:bidi w:val="0"/>
              <w:adjustRightInd w:val="0"/>
              <w:snapToGrid w:val="0"/>
              <w:spacing w:before="215" w:line="120" w:lineRule="auto"/>
              <w:ind w:left="23"/>
              <w:jc w:val="center"/>
              <w:textAlignment w:val="baseline"/>
              <w:rPr>
                <w:rFonts w:hint="eastAsia" w:ascii="仿宋" w:hAnsi="仿宋" w:eastAsia="仿宋" w:cs="仿宋"/>
                <w:b/>
                <w:bCs/>
                <w:snapToGrid w:val="0"/>
                <w:color w:val="000000"/>
                <w:spacing w:val="2"/>
                <w:kern w:val="0"/>
                <w:sz w:val="28"/>
                <w:szCs w:val="28"/>
                <w:lang w:val="en-US" w:eastAsia="zh-CN" w:bidi="ar-SA"/>
              </w:rPr>
            </w:pPr>
            <w:r>
              <w:rPr>
                <w:rFonts w:hint="eastAsia" w:ascii="仿宋" w:hAnsi="仿宋" w:eastAsia="仿宋" w:cs="仿宋"/>
                <w:b/>
                <w:bCs/>
                <w:snapToGrid w:val="0"/>
                <w:color w:val="000000"/>
                <w:spacing w:val="2"/>
                <w:kern w:val="0"/>
                <w:sz w:val="28"/>
                <w:szCs w:val="28"/>
                <w:lang w:val="en-US" w:eastAsia="zh-CN" w:bidi="ar-SA"/>
              </w:rPr>
              <w:t>地  点</w:t>
            </w:r>
          </w:p>
        </w:tc>
        <w:tc>
          <w:tcPr>
            <w:tcW w:w="3653" w:type="dxa"/>
            <w:tcBorders>
              <w:bottom w:val="single" w:color="auto" w:sz="4" w:space="0"/>
            </w:tcBorders>
            <w:noWrap w:val="0"/>
            <w:vAlign w:val="center"/>
          </w:tcPr>
          <w:p w14:paraId="097C6B95">
            <w:pPr>
              <w:keepNext w:val="0"/>
              <w:keepLines w:val="0"/>
              <w:pageBreakBefore w:val="0"/>
              <w:widowControl/>
              <w:kinsoku w:val="0"/>
              <w:wordWrap/>
              <w:overflowPunct/>
              <w:topLinePunct w:val="0"/>
              <w:autoSpaceDE w:val="0"/>
              <w:autoSpaceDN w:val="0"/>
              <w:bidi w:val="0"/>
              <w:adjustRightInd w:val="0"/>
              <w:snapToGrid w:val="0"/>
              <w:spacing w:before="215" w:line="120" w:lineRule="auto"/>
              <w:ind w:left="23"/>
              <w:jc w:val="center"/>
              <w:textAlignment w:val="baseline"/>
              <w:rPr>
                <w:rFonts w:hint="eastAsia" w:ascii="仿宋" w:hAnsi="仿宋" w:eastAsia="仿宋" w:cs="仿宋"/>
                <w:b/>
                <w:bCs/>
                <w:snapToGrid w:val="0"/>
                <w:color w:val="000000"/>
                <w:spacing w:val="2"/>
                <w:kern w:val="0"/>
                <w:sz w:val="28"/>
                <w:szCs w:val="28"/>
                <w:lang w:val="en-US" w:eastAsia="zh-CN" w:bidi="ar-SA"/>
              </w:rPr>
            </w:pPr>
            <w:r>
              <w:rPr>
                <w:rFonts w:hint="eastAsia" w:ascii="仿宋" w:hAnsi="仿宋" w:eastAsia="仿宋" w:cs="仿宋"/>
                <w:b/>
                <w:bCs/>
                <w:snapToGrid w:val="0"/>
                <w:color w:val="000000"/>
                <w:spacing w:val="2"/>
                <w:kern w:val="0"/>
                <w:sz w:val="28"/>
                <w:szCs w:val="28"/>
                <w:lang w:val="en-US" w:eastAsia="zh-CN" w:bidi="ar-SA"/>
              </w:rPr>
              <w:t>备  注</w:t>
            </w:r>
          </w:p>
        </w:tc>
      </w:tr>
      <w:tr w14:paraId="6BD469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4" w:hRule="atLeast"/>
        </w:trPr>
        <w:tc>
          <w:tcPr>
            <w:tcW w:w="1590" w:type="dxa"/>
            <w:vMerge w:val="restart"/>
            <w:tcBorders>
              <w:top w:val="single" w:color="auto" w:sz="4" w:space="0"/>
              <w:left w:val="single" w:color="auto" w:sz="4" w:space="0"/>
              <w:right w:val="single" w:color="auto" w:sz="4" w:space="0"/>
            </w:tcBorders>
            <w:noWrap w:val="0"/>
            <w:vAlign w:val="center"/>
          </w:tcPr>
          <w:p w14:paraId="7975D9EF">
            <w:pPr>
              <w:spacing w:before="120" w:line="240" w:lineRule="auto"/>
              <w:jc w:val="center"/>
              <w:rPr>
                <w:rFonts w:hint="eastAsia" w:ascii="仿宋" w:hAnsi="仿宋" w:eastAsia="仿宋" w:cs="仿宋"/>
                <w:b/>
                <w:bCs/>
                <w:snapToGrid w:val="0"/>
                <w:color w:val="000000"/>
                <w:spacing w:val="2"/>
                <w:kern w:val="0"/>
                <w:sz w:val="21"/>
                <w:szCs w:val="21"/>
                <w:lang w:val="en-US" w:eastAsia="zh-CN" w:bidi="ar-SA"/>
              </w:rPr>
            </w:pPr>
            <w:r>
              <w:rPr>
                <w:rFonts w:hint="eastAsia" w:ascii="仿宋" w:hAnsi="仿宋" w:eastAsia="仿宋" w:cs="仿宋"/>
                <w:b/>
                <w:bCs/>
                <w:snapToGrid w:val="0"/>
                <w:color w:val="000000"/>
                <w:spacing w:val="2"/>
                <w:kern w:val="0"/>
                <w:sz w:val="21"/>
                <w:szCs w:val="21"/>
                <w:lang w:val="en-US" w:eastAsia="zh-CN" w:bidi="ar-SA"/>
              </w:rPr>
              <w:t>2024年11月21日（全天）</w:t>
            </w:r>
          </w:p>
          <w:p w14:paraId="0DC4180F">
            <w:pPr>
              <w:spacing w:before="120" w:line="240" w:lineRule="auto"/>
              <w:jc w:val="center"/>
              <w:rPr>
                <w:rFonts w:hint="default" w:ascii="微软雅黑" w:hAnsi="微软雅黑" w:eastAsia="微软雅黑" w:cs="微软雅黑"/>
                <w:spacing w:val="-29"/>
                <w:position w:val="23"/>
                <w:sz w:val="28"/>
                <w:szCs w:val="28"/>
                <w:lang w:val="en-US" w:eastAsia="zh-CN"/>
              </w:rPr>
            </w:pPr>
          </w:p>
        </w:tc>
        <w:tc>
          <w:tcPr>
            <w:tcW w:w="1432" w:type="dxa"/>
            <w:vMerge w:val="restart"/>
            <w:tcBorders>
              <w:top w:val="single" w:color="auto" w:sz="4" w:space="0"/>
              <w:left w:val="single" w:color="auto" w:sz="4" w:space="0"/>
              <w:right w:val="single" w:color="auto" w:sz="4" w:space="0"/>
            </w:tcBorders>
            <w:noWrap w:val="0"/>
            <w:vAlign w:val="center"/>
          </w:tcPr>
          <w:p w14:paraId="2AB07571">
            <w:pPr>
              <w:spacing w:before="264" w:line="561" w:lineRule="exact"/>
              <w:jc w:val="center"/>
              <w:rPr>
                <w:rFonts w:ascii="微软雅黑" w:hAnsi="微软雅黑" w:eastAsia="微软雅黑" w:cs="微软雅黑"/>
                <w:sz w:val="28"/>
                <w:szCs w:val="28"/>
              </w:rPr>
            </w:pPr>
            <w:r>
              <w:rPr>
                <w:rFonts w:hint="eastAsia" w:ascii="仿宋" w:hAnsi="仿宋" w:eastAsia="仿宋" w:cs="仿宋"/>
                <w:b w:val="0"/>
                <w:bCs w:val="0"/>
                <w:sz w:val="24"/>
                <w:szCs w:val="24"/>
                <w:lang w:val="en-US" w:eastAsia="zh-CN"/>
              </w:rPr>
              <w:t>9:00-12:30</w:t>
            </w:r>
          </w:p>
        </w:tc>
        <w:tc>
          <w:tcPr>
            <w:tcW w:w="2458" w:type="dxa"/>
            <w:vMerge w:val="restart"/>
            <w:tcBorders>
              <w:top w:val="single" w:color="auto" w:sz="4" w:space="0"/>
              <w:left w:val="single" w:color="auto" w:sz="4" w:space="0"/>
              <w:right w:val="single" w:color="auto" w:sz="4" w:space="0"/>
            </w:tcBorders>
            <w:noWrap w:val="0"/>
            <w:vAlign w:val="center"/>
          </w:tcPr>
          <w:p w14:paraId="6BFF5AA1">
            <w:pPr>
              <w:pStyle w:val="2"/>
              <w:spacing w:before="200" w:line="240" w:lineRule="auto"/>
              <w:jc w:val="center"/>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en-US" w:eastAsia="zh-CN" w:bidi="ar-SA"/>
              </w:rPr>
              <w:t>2024中国-东盟</w:t>
            </w:r>
          </w:p>
          <w:p w14:paraId="71F48EE6">
            <w:pPr>
              <w:pStyle w:val="2"/>
              <w:spacing w:before="200" w:line="240" w:lineRule="auto"/>
              <w:jc w:val="center"/>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en-US" w:eastAsia="zh-CN" w:bidi="ar-SA"/>
              </w:rPr>
              <w:t>经典诵读大赛现场展演</w:t>
            </w:r>
          </w:p>
          <w:p w14:paraId="6E5C64A9">
            <w:pPr>
              <w:spacing w:before="199" w:line="181" w:lineRule="auto"/>
              <w:ind w:left="16"/>
              <w:jc w:val="center"/>
              <w:rPr>
                <w:rFonts w:hint="default" w:ascii="微软雅黑" w:hAnsi="微软雅黑" w:eastAsia="微软雅黑" w:cs="微软雅黑"/>
                <w:sz w:val="24"/>
                <w:szCs w:val="24"/>
                <w:lang w:val="en-US" w:eastAsia="zh-CN"/>
              </w:rPr>
            </w:pPr>
            <w:r>
              <w:rPr>
                <w:rFonts w:hint="eastAsia" w:ascii="仿宋" w:hAnsi="仿宋" w:eastAsia="仿宋" w:cs="仿宋"/>
                <w:snapToGrid w:val="0"/>
                <w:color w:val="000000"/>
                <w:spacing w:val="2"/>
                <w:kern w:val="0"/>
                <w:sz w:val="24"/>
                <w:szCs w:val="24"/>
                <w:lang w:val="en-US" w:eastAsia="zh-CN" w:bidi="ar-SA"/>
              </w:rPr>
              <w:t>序号 1-35 号选手</w:t>
            </w:r>
          </w:p>
        </w:tc>
        <w:tc>
          <w:tcPr>
            <w:tcW w:w="1613" w:type="dxa"/>
            <w:vMerge w:val="restart"/>
            <w:tcBorders>
              <w:top w:val="single" w:color="auto" w:sz="4" w:space="0"/>
              <w:left w:val="single" w:color="auto" w:sz="4" w:space="0"/>
              <w:right w:val="single" w:color="auto" w:sz="4" w:space="0"/>
            </w:tcBorders>
            <w:noWrap w:val="0"/>
            <w:vAlign w:val="center"/>
          </w:tcPr>
          <w:p w14:paraId="03D27095">
            <w:pPr>
              <w:keepNext w:val="0"/>
              <w:keepLines w:val="0"/>
              <w:pageBreakBefore w:val="0"/>
              <w:widowControl/>
              <w:kinsoku w:val="0"/>
              <w:wordWrap/>
              <w:overflowPunct/>
              <w:topLinePunct w:val="0"/>
              <w:autoSpaceDE w:val="0"/>
              <w:autoSpaceDN w:val="0"/>
              <w:bidi w:val="0"/>
              <w:adjustRightInd w:val="0"/>
              <w:snapToGrid w:val="0"/>
              <w:spacing w:before="120" w:line="240" w:lineRule="auto"/>
              <w:jc w:val="center"/>
              <w:textAlignment w:val="baseline"/>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en-US" w:eastAsia="zh-CN" w:bidi="ar-SA"/>
              </w:rPr>
              <w:t>贵州商学院</w:t>
            </w:r>
          </w:p>
          <w:p w14:paraId="7EE2075A">
            <w:pPr>
              <w:keepNext w:val="0"/>
              <w:keepLines w:val="0"/>
              <w:pageBreakBefore w:val="0"/>
              <w:widowControl/>
              <w:kinsoku w:val="0"/>
              <w:wordWrap/>
              <w:overflowPunct/>
              <w:topLinePunct w:val="0"/>
              <w:autoSpaceDE w:val="0"/>
              <w:autoSpaceDN w:val="0"/>
              <w:bidi w:val="0"/>
              <w:adjustRightInd w:val="0"/>
              <w:snapToGrid w:val="0"/>
              <w:spacing w:before="120" w:line="240" w:lineRule="auto"/>
              <w:jc w:val="center"/>
              <w:textAlignment w:val="baseline"/>
              <w:rPr>
                <w:rFonts w:hint="default" w:ascii="微软雅黑" w:hAnsi="微软雅黑" w:eastAsia="微软雅黑" w:cs="微软雅黑"/>
                <w:sz w:val="28"/>
                <w:szCs w:val="28"/>
                <w:lang w:val="en-US"/>
              </w:rPr>
            </w:pPr>
            <w:r>
              <w:rPr>
                <w:rFonts w:hint="eastAsia" w:ascii="仿宋" w:hAnsi="仿宋" w:eastAsia="仿宋" w:cs="仿宋"/>
                <w:snapToGrid w:val="0"/>
                <w:color w:val="000000"/>
                <w:spacing w:val="2"/>
                <w:kern w:val="0"/>
                <w:sz w:val="24"/>
                <w:szCs w:val="24"/>
                <w:lang w:val="en-US" w:eastAsia="zh-CN" w:bidi="ar-SA"/>
              </w:rPr>
              <w:t>图书馆报告厅</w:t>
            </w:r>
          </w:p>
        </w:tc>
        <w:tc>
          <w:tcPr>
            <w:tcW w:w="3653" w:type="dxa"/>
            <w:tcBorders>
              <w:top w:val="single" w:color="auto" w:sz="4" w:space="0"/>
              <w:left w:val="single" w:color="auto" w:sz="4" w:space="0"/>
              <w:bottom w:val="single" w:color="auto" w:sz="4" w:space="0"/>
              <w:right w:val="single" w:color="auto" w:sz="4" w:space="0"/>
            </w:tcBorders>
            <w:noWrap w:val="0"/>
            <w:vAlign w:val="center"/>
          </w:tcPr>
          <w:p w14:paraId="69482475">
            <w:pPr>
              <w:spacing w:before="199" w:line="181" w:lineRule="auto"/>
              <w:ind w:firstLine="428" w:firstLineChars="200"/>
              <w:jc w:val="both"/>
              <w:rPr>
                <w:rFonts w:hint="eastAsia" w:ascii="仿宋" w:hAnsi="仿宋" w:eastAsia="仿宋" w:cs="仿宋"/>
                <w:snapToGrid w:val="0"/>
                <w:color w:val="000000"/>
                <w:spacing w:val="2"/>
                <w:kern w:val="0"/>
                <w:sz w:val="21"/>
                <w:szCs w:val="21"/>
                <w:lang w:val="en-US" w:eastAsia="zh-CN" w:bidi="ar-SA"/>
              </w:rPr>
            </w:pPr>
            <w:r>
              <w:rPr>
                <w:rFonts w:hint="eastAsia" w:ascii="仿宋" w:hAnsi="仿宋" w:eastAsia="仿宋" w:cs="仿宋"/>
                <w:snapToGrid w:val="0"/>
                <w:color w:val="000000"/>
                <w:spacing w:val="2"/>
                <w:kern w:val="0"/>
                <w:sz w:val="21"/>
                <w:szCs w:val="21"/>
                <w:lang w:val="en-US" w:eastAsia="zh-CN" w:bidi="ar-SA"/>
              </w:rPr>
              <w:t>主持人：景伟健（暂定）</w:t>
            </w:r>
          </w:p>
          <w:p w14:paraId="64A0DC24">
            <w:pPr>
              <w:spacing w:before="199" w:line="181" w:lineRule="auto"/>
              <w:ind w:left="16" w:firstLine="428" w:firstLineChars="200"/>
              <w:jc w:val="both"/>
              <w:rPr>
                <w:rFonts w:hint="eastAsia" w:ascii="仿宋" w:hAnsi="仿宋" w:eastAsia="仿宋" w:cs="仿宋"/>
                <w:snapToGrid w:val="0"/>
                <w:color w:val="000000"/>
                <w:spacing w:val="2"/>
                <w:kern w:val="0"/>
                <w:sz w:val="21"/>
                <w:szCs w:val="21"/>
                <w:lang w:val="en-US" w:eastAsia="zh-CN" w:bidi="ar-SA"/>
              </w:rPr>
            </w:pPr>
            <w:r>
              <w:rPr>
                <w:rFonts w:hint="eastAsia" w:ascii="仿宋" w:hAnsi="仿宋" w:eastAsia="仿宋" w:cs="仿宋"/>
                <w:snapToGrid w:val="0"/>
                <w:color w:val="000000"/>
                <w:spacing w:val="2"/>
                <w:kern w:val="0"/>
                <w:sz w:val="21"/>
                <w:szCs w:val="21"/>
                <w:lang w:val="en-US" w:eastAsia="zh-CN" w:bidi="ar-SA"/>
              </w:rPr>
              <w:t>1.介绍大赛评委及嘉宾；</w:t>
            </w:r>
          </w:p>
          <w:p w14:paraId="433B13AF">
            <w:pPr>
              <w:spacing w:before="199" w:line="181" w:lineRule="auto"/>
              <w:ind w:left="16" w:firstLine="428" w:firstLineChars="200"/>
              <w:jc w:val="both"/>
              <w:rPr>
                <w:rFonts w:ascii="微软雅黑" w:hAnsi="微软雅黑" w:eastAsia="微软雅黑" w:cs="微软雅黑"/>
                <w:sz w:val="28"/>
                <w:szCs w:val="28"/>
              </w:rPr>
            </w:pPr>
            <w:r>
              <w:rPr>
                <w:rFonts w:hint="eastAsia" w:ascii="仿宋" w:hAnsi="仿宋" w:eastAsia="仿宋" w:cs="仿宋"/>
                <w:snapToGrid w:val="0"/>
                <w:color w:val="000000"/>
                <w:spacing w:val="2"/>
                <w:kern w:val="0"/>
                <w:sz w:val="21"/>
                <w:szCs w:val="21"/>
                <w:lang w:val="en-US" w:eastAsia="zh-CN" w:bidi="ar-SA"/>
              </w:rPr>
              <w:t>2.宣读比赛规则及评分标准。</w:t>
            </w:r>
          </w:p>
        </w:tc>
      </w:tr>
      <w:tr w14:paraId="1B003B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38" w:hRule="atLeast"/>
        </w:trPr>
        <w:tc>
          <w:tcPr>
            <w:tcW w:w="1590" w:type="dxa"/>
            <w:vMerge w:val="continue"/>
            <w:tcBorders>
              <w:left w:val="single" w:color="auto" w:sz="4" w:space="0"/>
              <w:right w:val="single" w:color="auto" w:sz="4" w:space="0"/>
            </w:tcBorders>
            <w:noWrap w:val="0"/>
            <w:vAlign w:val="top"/>
          </w:tcPr>
          <w:p w14:paraId="44BE307E">
            <w:pPr>
              <w:pStyle w:val="10"/>
            </w:pPr>
          </w:p>
        </w:tc>
        <w:tc>
          <w:tcPr>
            <w:tcW w:w="1432" w:type="dxa"/>
            <w:vMerge w:val="continue"/>
            <w:tcBorders>
              <w:left w:val="single" w:color="auto" w:sz="4" w:space="0"/>
              <w:right w:val="single" w:color="auto" w:sz="4" w:space="0"/>
            </w:tcBorders>
            <w:noWrap w:val="0"/>
            <w:vAlign w:val="center"/>
          </w:tcPr>
          <w:p w14:paraId="65F393D6">
            <w:pPr>
              <w:pStyle w:val="10"/>
              <w:spacing w:line="283" w:lineRule="auto"/>
              <w:jc w:val="center"/>
              <w:rPr>
                <w:rFonts w:ascii="微软雅黑" w:hAnsi="微软雅黑" w:eastAsia="微软雅黑" w:cs="微软雅黑"/>
                <w:sz w:val="28"/>
                <w:szCs w:val="28"/>
              </w:rPr>
            </w:pPr>
          </w:p>
        </w:tc>
        <w:tc>
          <w:tcPr>
            <w:tcW w:w="2458" w:type="dxa"/>
            <w:vMerge w:val="continue"/>
            <w:tcBorders>
              <w:left w:val="single" w:color="auto" w:sz="4" w:space="0"/>
              <w:right w:val="single" w:color="auto" w:sz="4" w:space="0"/>
            </w:tcBorders>
            <w:noWrap w:val="0"/>
            <w:vAlign w:val="center"/>
          </w:tcPr>
          <w:p w14:paraId="6CD5AECD">
            <w:pPr>
              <w:spacing w:before="199" w:line="181" w:lineRule="auto"/>
              <w:ind w:left="16"/>
              <w:jc w:val="center"/>
              <w:rPr>
                <w:rFonts w:hint="default" w:ascii="微软雅黑" w:hAnsi="微软雅黑" w:eastAsia="微软雅黑" w:cs="微软雅黑"/>
                <w:sz w:val="24"/>
                <w:szCs w:val="24"/>
                <w:lang w:val="en-US" w:eastAsia="zh-CN"/>
              </w:rPr>
            </w:pPr>
          </w:p>
        </w:tc>
        <w:tc>
          <w:tcPr>
            <w:tcW w:w="1613" w:type="dxa"/>
            <w:vMerge w:val="continue"/>
            <w:tcBorders>
              <w:left w:val="single" w:color="auto" w:sz="4" w:space="0"/>
              <w:bottom w:val="single" w:color="auto" w:sz="4" w:space="0"/>
              <w:right w:val="single" w:color="auto" w:sz="4" w:space="0"/>
            </w:tcBorders>
            <w:noWrap w:val="0"/>
            <w:vAlign w:val="top"/>
          </w:tcPr>
          <w:p w14:paraId="14FF2C11">
            <w:pPr>
              <w:pStyle w:val="10"/>
            </w:pPr>
          </w:p>
        </w:tc>
        <w:tc>
          <w:tcPr>
            <w:tcW w:w="3653" w:type="dxa"/>
            <w:tcBorders>
              <w:top w:val="nil"/>
              <w:bottom w:val="single" w:color="auto" w:sz="4" w:space="0"/>
            </w:tcBorders>
            <w:noWrap w:val="0"/>
            <w:vAlign w:val="center"/>
          </w:tcPr>
          <w:p w14:paraId="6970AEA4">
            <w:pPr>
              <w:pStyle w:val="10"/>
              <w:keepNext w:val="0"/>
              <w:keepLines w:val="0"/>
              <w:pageBreakBefore w:val="0"/>
              <w:widowControl/>
              <w:numPr>
                <w:ilvl w:val="0"/>
                <w:numId w:val="0"/>
              </w:numPr>
              <w:kinsoku w:val="0"/>
              <w:wordWrap/>
              <w:overflowPunct/>
              <w:topLinePunct w:val="0"/>
              <w:autoSpaceDE w:val="0"/>
              <w:autoSpaceDN w:val="0"/>
              <w:bidi w:val="0"/>
              <w:adjustRightInd w:val="0"/>
              <w:snapToGrid w:val="0"/>
              <w:spacing w:line="288" w:lineRule="auto"/>
              <w:ind w:firstLine="428" w:firstLineChars="200"/>
              <w:jc w:val="left"/>
              <w:textAlignment w:val="baseline"/>
              <w:rPr>
                <w:rFonts w:hint="eastAsia" w:ascii="仿宋" w:hAnsi="仿宋" w:eastAsia="仿宋" w:cs="仿宋"/>
                <w:snapToGrid w:val="0"/>
                <w:color w:val="000000"/>
                <w:spacing w:val="2"/>
                <w:kern w:val="0"/>
                <w:sz w:val="21"/>
                <w:szCs w:val="21"/>
                <w:lang w:val="en-US" w:eastAsia="zh-CN" w:bidi="ar-SA"/>
              </w:rPr>
            </w:pPr>
            <w:r>
              <w:rPr>
                <w:rFonts w:hint="eastAsia" w:ascii="仿宋" w:hAnsi="仿宋" w:eastAsia="仿宋" w:cs="仿宋"/>
                <w:snapToGrid w:val="0"/>
                <w:color w:val="000000"/>
                <w:spacing w:val="2"/>
                <w:kern w:val="0"/>
                <w:sz w:val="21"/>
                <w:szCs w:val="21"/>
                <w:lang w:val="en-US" w:eastAsia="zh-CN" w:bidi="ar-SA"/>
              </w:rPr>
              <w:t>1.参赛选手（团队或个人）按照抽签顺序逐一进行比赛。</w:t>
            </w:r>
          </w:p>
          <w:p w14:paraId="47923B50">
            <w:pPr>
              <w:pStyle w:val="10"/>
              <w:keepNext w:val="0"/>
              <w:keepLines w:val="0"/>
              <w:pageBreakBefore w:val="0"/>
              <w:widowControl/>
              <w:numPr>
                <w:ilvl w:val="0"/>
                <w:numId w:val="0"/>
              </w:numPr>
              <w:kinsoku w:val="0"/>
              <w:wordWrap/>
              <w:overflowPunct/>
              <w:topLinePunct w:val="0"/>
              <w:autoSpaceDE w:val="0"/>
              <w:autoSpaceDN w:val="0"/>
              <w:bidi w:val="0"/>
              <w:adjustRightInd w:val="0"/>
              <w:snapToGrid w:val="0"/>
              <w:spacing w:line="288" w:lineRule="auto"/>
              <w:ind w:firstLine="428" w:firstLineChars="200"/>
              <w:jc w:val="left"/>
              <w:textAlignment w:val="baseline"/>
            </w:pPr>
            <w:r>
              <w:rPr>
                <w:rFonts w:hint="eastAsia" w:ascii="仿宋" w:hAnsi="仿宋" w:eastAsia="仿宋" w:cs="仿宋"/>
                <w:snapToGrid w:val="0"/>
                <w:color w:val="000000"/>
                <w:spacing w:val="2"/>
                <w:kern w:val="0"/>
                <w:sz w:val="21"/>
                <w:szCs w:val="21"/>
                <w:lang w:val="en-US" w:eastAsia="zh-CN" w:bidi="ar-SA"/>
              </w:rPr>
              <w:t>2.参赛选手（团队或个人） 诵读结束后评委进行现场打分，计分员收集评分卡计算分数后主持人宣布选手得分。</w:t>
            </w:r>
          </w:p>
        </w:tc>
      </w:tr>
      <w:tr w14:paraId="6ADED1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590" w:type="dxa"/>
            <w:vMerge w:val="continue"/>
            <w:tcBorders>
              <w:left w:val="single" w:color="auto" w:sz="4" w:space="0"/>
              <w:right w:val="single" w:color="auto" w:sz="4" w:space="0"/>
            </w:tcBorders>
            <w:noWrap w:val="0"/>
            <w:vAlign w:val="top"/>
          </w:tcPr>
          <w:p w14:paraId="380EDAC3">
            <w:pPr>
              <w:pStyle w:val="10"/>
            </w:pPr>
          </w:p>
        </w:tc>
        <w:tc>
          <w:tcPr>
            <w:tcW w:w="1432" w:type="dxa"/>
            <w:tcBorders>
              <w:left w:val="single" w:color="auto" w:sz="4" w:space="0"/>
            </w:tcBorders>
            <w:noWrap w:val="0"/>
            <w:vAlign w:val="center"/>
          </w:tcPr>
          <w:p w14:paraId="54195F60">
            <w:pPr>
              <w:spacing w:before="120" w:line="163" w:lineRule="auto"/>
              <w:jc w:val="center"/>
              <w:rPr>
                <w:rFonts w:ascii="微软雅黑" w:hAnsi="微软雅黑" w:eastAsia="微软雅黑" w:cs="微软雅黑"/>
                <w:sz w:val="28"/>
                <w:szCs w:val="28"/>
              </w:rPr>
            </w:pPr>
            <w:r>
              <w:rPr>
                <w:rFonts w:hint="eastAsia" w:ascii="仿宋" w:hAnsi="仿宋" w:eastAsia="仿宋" w:cs="仿宋"/>
                <w:b w:val="0"/>
                <w:bCs w:val="0"/>
                <w:sz w:val="24"/>
                <w:szCs w:val="24"/>
                <w:lang w:val="en-US" w:eastAsia="zh-CN"/>
              </w:rPr>
              <w:t>12:40-13:50</w:t>
            </w:r>
          </w:p>
        </w:tc>
        <w:tc>
          <w:tcPr>
            <w:tcW w:w="7724" w:type="dxa"/>
            <w:gridSpan w:val="3"/>
            <w:tcBorders>
              <w:right w:val="single" w:color="auto" w:sz="4" w:space="0"/>
            </w:tcBorders>
            <w:noWrap w:val="0"/>
            <w:vAlign w:val="center"/>
          </w:tcPr>
          <w:p w14:paraId="2E25B6A9">
            <w:pPr>
              <w:pStyle w:val="10"/>
              <w:jc w:val="center"/>
              <w:rPr>
                <w:b/>
                <w:bCs/>
              </w:rPr>
            </w:pPr>
            <w:r>
              <w:rPr>
                <w:rFonts w:hint="eastAsia" w:ascii="仿宋" w:hAnsi="仿宋" w:eastAsia="仿宋" w:cs="仿宋"/>
                <w:b/>
                <w:bCs/>
                <w:snapToGrid w:val="0"/>
                <w:color w:val="000000"/>
                <w:spacing w:val="2"/>
                <w:kern w:val="0"/>
                <w:sz w:val="24"/>
                <w:szCs w:val="24"/>
                <w:lang w:val="en-US" w:eastAsia="zh-CN" w:bidi="ar-SA"/>
              </w:rPr>
              <w:t>指定地点就餐 、休息室休息</w:t>
            </w:r>
          </w:p>
        </w:tc>
      </w:tr>
      <w:tr w14:paraId="017BF9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31" w:hRule="atLeast"/>
        </w:trPr>
        <w:tc>
          <w:tcPr>
            <w:tcW w:w="1590" w:type="dxa"/>
            <w:vMerge w:val="continue"/>
            <w:tcBorders>
              <w:left w:val="single" w:color="auto" w:sz="4" w:space="0"/>
              <w:right w:val="single" w:color="auto" w:sz="4" w:space="0"/>
            </w:tcBorders>
            <w:noWrap w:val="0"/>
            <w:vAlign w:val="center"/>
          </w:tcPr>
          <w:p w14:paraId="71BD1E28">
            <w:pPr>
              <w:pStyle w:val="10"/>
              <w:jc w:val="center"/>
            </w:pPr>
          </w:p>
        </w:tc>
        <w:tc>
          <w:tcPr>
            <w:tcW w:w="1432" w:type="dxa"/>
            <w:tcBorders>
              <w:left w:val="single" w:color="auto" w:sz="4" w:space="0"/>
            </w:tcBorders>
            <w:noWrap w:val="0"/>
            <w:vAlign w:val="center"/>
          </w:tcPr>
          <w:p w14:paraId="4901C125">
            <w:pPr>
              <w:spacing w:before="120" w:line="163" w:lineRule="auto"/>
              <w:jc w:val="center"/>
              <w:rPr>
                <w:rFonts w:hint="eastAsia" w:ascii="仿宋" w:hAnsi="仿宋" w:eastAsia="仿宋" w:cs="仿宋"/>
                <w:b/>
                <w:bCs/>
                <w:snapToGrid w:val="0"/>
                <w:color w:val="000000"/>
                <w:kern w:val="0"/>
                <w:sz w:val="24"/>
                <w:szCs w:val="24"/>
                <w:lang w:val="en-US" w:eastAsia="zh-CN" w:bidi="ar-SA"/>
              </w:rPr>
            </w:pPr>
            <w:r>
              <w:rPr>
                <w:rFonts w:hint="eastAsia" w:ascii="仿宋" w:hAnsi="仿宋" w:eastAsia="仿宋" w:cs="仿宋"/>
                <w:b w:val="0"/>
                <w:bCs w:val="0"/>
                <w:sz w:val="24"/>
                <w:szCs w:val="24"/>
                <w:lang w:val="en-US" w:eastAsia="zh-CN"/>
              </w:rPr>
              <w:t>14:00-17:30</w:t>
            </w:r>
          </w:p>
        </w:tc>
        <w:tc>
          <w:tcPr>
            <w:tcW w:w="2458" w:type="dxa"/>
            <w:tcBorders>
              <w:right w:val="single" w:color="auto" w:sz="4" w:space="0"/>
            </w:tcBorders>
            <w:noWrap w:val="0"/>
            <w:vAlign w:val="center"/>
          </w:tcPr>
          <w:p w14:paraId="25279B2E">
            <w:pPr>
              <w:spacing w:before="120" w:line="181" w:lineRule="auto"/>
              <w:jc w:val="center"/>
              <w:rPr>
                <w:rFonts w:hint="default"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en-US" w:eastAsia="zh-CN" w:bidi="ar-SA"/>
              </w:rPr>
              <w:t>序号 36-70 号选手</w:t>
            </w:r>
          </w:p>
        </w:tc>
        <w:tc>
          <w:tcPr>
            <w:tcW w:w="1613" w:type="dxa"/>
            <w:tcBorders>
              <w:top w:val="single" w:color="auto" w:sz="4" w:space="0"/>
              <w:left w:val="single" w:color="auto" w:sz="4" w:space="0"/>
              <w:right w:val="single" w:color="auto" w:sz="4" w:space="0"/>
            </w:tcBorders>
            <w:noWrap w:val="0"/>
            <w:vAlign w:val="center"/>
          </w:tcPr>
          <w:p w14:paraId="544277A6">
            <w:pPr>
              <w:keepNext w:val="0"/>
              <w:keepLines w:val="0"/>
              <w:pageBreakBefore w:val="0"/>
              <w:widowControl/>
              <w:kinsoku w:val="0"/>
              <w:wordWrap/>
              <w:overflowPunct/>
              <w:topLinePunct w:val="0"/>
              <w:autoSpaceDE w:val="0"/>
              <w:autoSpaceDN w:val="0"/>
              <w:bidi w:val="0"/>
              <w:adjustRightInd w:val="0"/>
              <w:snapToGrid w:val="0"/>
              <w:spacing w:before="120" w:line="240" w:lineRule="auto"/>
              <w:jc w:val="center"/>
              <w:textAlignment w:val="baseline"/>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en-US" w:eastAsia="zh-CN" w:bidi="ar-SA"/>
              </w:rPr>
              <w:t>贵州商学院</w:t>
            </w:r>
          </w:p>
          <w:p w14:paraId="53F4879E">
            <w:pPr>
              <w:pStyle w:val="10"/>
              <w:jc w:val="center"/>
            </w:pPr>
            <w:r>
              <w:rPr>
                <w:rFonts w:hint="eastAsia" w:ascii="仿宋" w:hAnsi="仿宋" w:eastAsia="仿宋" w:cs="仿宋"/>
                <w:snapToGrid w:val="0"/>
                <w:color w:val="000000"/>
                <w:spacing w:val="2"/>
                <w:kern w:val="0"/>
                <w:sz w:val="24"/>
                <w:szCs w:val="24"/>
                <w:lang w:val="en-US" w:eastAsia="zh-CN" w:bidi="ar-SA"/>
              </w:rPr>
              <w:t>图书馆报告厅</w:t>
            </w:r>
          </w:p>
        </w:tc>
        <w:tc>
          <w:tcPr>
            <w:tcW w:w="3653" w:type="dxa"/>
            <w:vMerge w:val="restart"/>
            <w:tcBorders>
              <w:top w:val="single" w:color="auto" w:sz="4" w:space="0"/>
              <w:left w:val="single" w:color="auto" w:sz="4" w:space="0"/>
              <w:right w:val="single" w:color="auto" w:sz="4" w:space="0"/>
            </w:tcBorders>
            <w:noWrap w:val="0"/>
            <w:vAlign w:val="center"/>
          </w:tcPr>
          <w:p w14:paraId="6C8DC385">
            <w:pPr>
              <w:pStyle w:val="10"/>
              <w:keepNext w:val="0"/>
              <w:keepLines w:val="0"/>
              <w:pageBreakBefore w:val="0"/>
              <w:widowControl/>
              <w:numPr>
                <w:ilvl w:val="0"/>
                <w:numId w:val="0"/>
              </w:numPr>
              <w:kinsoku w:val="0"/>
              <w:wordWrap/>
              <w:overflowPunct/>
              <w:topLinePunct w:val="0"/>
              <w:autoSpaceDE w:val="0"/>
              <w:autoSpaceDN w:val="0"/>
              <w:bidi w:val="0"/>
              <w:adjustRightInd w:val="0"/>
              <w:snapToGrid w:val="0"/>
              <w:spacing w:line="288" w:lineRule="auto"/>
              <w:ind w:firstLine="428" w:firstLineChars="200"/>
              <w:jc w:val="left"/>
              <w:textAlignment w:val="baseline"/>
              <w:rPr>
                <w:rFonts w:hint="eastAsia" w:ascii="仿宋" w:hAnsi="仿宋" w:eastAsia="仿宋" w:cs="仿宋"/>
                <w:snapToGrid w:val="0"/>
                <w:color w:val="000000"/>
                <w:spacing w:val="2"/>
                <w:kern w:val="0"/>
                <w:sz w:val="21"/>
                <w:szCs w:val="21"/>
                <w:lang w:val="en-US" w:eastAsia="zh-CN" w:bidi="ar-SA"/>
              </w:rPr>
            </w:pPr>
            <w:r>
              <w:rPr>
                <w:rFonts w:hint="eastAsia" w:ascii="仿宋" w:hAnsi="仿宋" w:eastAsia="仿宋" w:cs="仿宋"/>
                <w:snapToGrid w:val="0"/>
                <w:color w:val="000000"/>
                <w:spacing w:val="2"/>
                <w:kern w:val="0"/>
                <w:sz w:val="21"/>
                <w:szCs w:val="21"/>
                <w:lang w:val="en-US" w:eastAsia="zh-CN" w:bidi="ar-SA"/>
              </w:rPr>
              <w:t>1.参赛选手（团队或个人）按照抽签顺序逐一进行比赛。</w:t>
            </w:r>
          </w:p>
          <w:p w14:paraId="25F07253">
            <w:pPr>
              <w:pStyle w:val="10"/>
              <w:jc w:val="center"/>
              <w:rPr>
                <w:rFonts w:hint="default" w:eastAsia="宋体"/>
                <w:lang w:val="en-US" w:eastAsia="zh-CN"/>
              </w:rPr>
            </w:pPr>
            <w:r>
              <w:rPr>
                <w:rFonts w:hint="eastAsia" w:ascii="仿宋" w:hAnsi="仿宋" w:eastAsia="仿宋" w:cs="仿宋"/>
                <w:snapToGrid w:val="0"/>
                <w:color w:val="000000"/>
                <w:spacing w:val="2"/>
                <w:kern w:val="0"/>
                <w:sz w:val="21"/>
                <w:szCs w:val="21"/>
                <w:lang w:val="en-US" w:eastAsia="zh-CN" w:bidi="ar-SA"/>
              </w:rPr>
              <w:t xml:space="preserve">    2.参赛选手（团队或个人）诵读结束后评委进行现场打分，计分员收集评分卡计算分数后主持人宣布选手得分。</w:t>
            </w:r>
          </w:p>
        </w:tc>
      </w:tr>
      <w:tr w14:paraId="653D37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8" w:hRule="atLeast"/>
        </w:trPr>
        <w:tc>
          <w:tcPr>
            <w:tcW w:w="1590" w:type="dxa"/>
            <w:vMerge w:val="restart"/>
            <w:tcBorders>
              <w:left w:val="single" w:color="auto" w:sz="4" w:space="0"/>
              <w:right w:val="single" w:color="auto" w:sz="4" w:space="0"/>
            </w:tcBorders>
            <w:noWrap w:val="0"/>
            <w:vAlign w:val="center"/>
          </w:tcPr>
          <w:p w14:paraId="7FE8A4DC">
            <w:pPr>
              <w:pStyle w:val="10"/>
              <w:jc w:val="center"/>
              <w:rPr>
                <w:rFonts w:hint="eastAsia" w:ascii="仿宋" w:hAnsi="仿宋" w:eastAsia="仿宋" w:cs="仿宋"/>
                <w:b/>
                <w:bCs/>
                <w:snapToGrid w:val="0"/>
                <w:color w:val="000000"/>
                <w:spacing w:val="2"/>
                <w:kern w:val="0"/>
                <w:sz w:val="21"/>
                <w:szCs w:val="21"/>
                <w:lang w:val="en-US" w:eastAsia="zh-CN" w:bidi="ar-SA"/>
              </w:rPr>
            </w:pPr>
            <w:r>
              <w:rPr>
                <w:rFonts w:hint="eastAsia" w:ascii="仿宋" w:hAnsi="仿宋" w:eastAsia="仿宋" w:cs="仿宋"/>
                <w:b/>
                <w:bCs/>
                <w:snapToGrid w:val="0"/>
                <w:color w:val="000000"/>
                <w:spacing w:val="2"/>
                <w:kern w:val="0"/>
                <w:sz w:val="21"/>
                <w:szCs w:val="21"/>
                <w:lang w:val="en-US" w:eastAsia="zh-CN" w:bidi="ar-SA"/>
              </w:rPr>
              <w:t>2024年11月22日</w:t>
            </w:r>
            <w:r>
              <w:rPr>
                <w:rFonts w:hint="eastAsia" w:ascii="仿宋" w:hAnsi="仿宋" w:eastAsia="仿宋" w:cs="仿宋"/>
                <w:b/>
                <w:bCs/>
                <w:spacing w:val="-29"/>
                <w:position w:val="23"/>
                <w:sz w:val="24"/>
                <w:szCs w:val="24"/>
                <w:lang w:val="en-US" w:eastAsia="zh-CN"/>
              </w:rPr>
              <w:t>（第一阶段）</w:t>
            </w:r>
          </w:p>
        </w:tc>
        <w:tc>
          <w:tcPr>
            <w:tcW w:w="1432" w:type="dxa"/>
            <w:tcBorders>
              <w:left w:val="single" w:color="auto" w:sz="4" w:space="0"/>
            </w:tcBorders>
            <w:noWrap w:val="0"/>
            <w:vAlign w:val="center"/>
          </w:tcPr>
          <w:p w14:paraId="6B1D1F9B">
            <w:pPr>
              <w:spacing w:before="120" w:line="163" w:lineRule="auto"/>
              <w:jc w:val="center"/>
              <w:rPr>
                <w:rFonts w:hint="default" w:ascii="仿宋" w:hAnsi="仿宋" w:eastAsia="仿宋" w:cs="仿宋"/>
                <w:b w:val="0"/>
                <w:bCs w:val="0"/>
                <w:snapToGrid w:val="0"/>
                <w:color w:val="000000"/>
                <w:kern w:val="0"/>
                <w:sz w:val="21"/>
                <w:szCs w:val="21"/>
                <w:lang w:val="en-US" w:eastAsia="zh-CN" w:bidi="ar-SA"/>
              </w:rPr>
            </w:pPr>
            <w:r>
              <w:rPr>
                <w:rFonts w:hint="eastAsia" w:ascii="仿宋" w:hAnsi="仿宋" w:eastAsia="仿宋" w:cs="仿宋"/>
                <w:b w:val="0"/>
                <w:bCs w:val="0"/>
                <w:sz w:val="24"/>
                <w:szCs w:val="24"/>
                <w:lang w:val="en-US" w:eastAsia="zh-CN"/>
              </w:rPr>
              <w:t>9:00-12:30</w:t>
            </w:r>
          </w:p>
        </w:tc>
        <w:tc>
          <w:tcPr>
            <w:tcW w:w="2458" w:type="dxa"/>
            <w:tcBorders>
              <w:right w:val="single" w:color="auto" w:sz="4" w:space="0"/>
            </w:tcBorders>
            <w:noWrap w:val="0"/>
            <w:vAlign w:val="center"/>
          </w:tcPr>
          <w:p w14:paraId="220F7818">
            <w:pPr>
              <w:spacing w:before="120" w:line="181" w:lineRule="auto"/>
              <w:jc w:val="center"/>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en-US" w:eastAsia="zh-CN" w:bidi="ar-SA"/>
              </w:rPr>
              <w:t>序号 71-100 号选手</w:t>
            </w:r>
          </w:p>
        </w:tc>
        <w:tc>
          <w:tcPr>
            <w:tcW w:w="1613" w:type="dxa"/>
            <w:tcBorders>
              <w:left w:val="single" w:color="auto" w:sz="4" w:space="0"/>
              <w:right w:val="single" w:color="auto" w:sz="4" w:space="0"/>
            </w:tcBorders>
            <w:noWrap w:val="0"/>
            <w:vAlign w:val="center"/>
          </w:tcPr>
          <w:p w14:paraId="4036A4F7">
            <w:pPr>
              <w:keepNext w:val="0"/>
              <w:keepLines w:val="0"/>
              <w:pageBreakBefore w:val="0"/>
              <w:widowControl/>
              <w:kinsoku w:val="0"/>
              <w:wordWrap/>
              <w:overflowPunct/>
              <w:topLinePunct w:val="0"/>
              <w:autoSpaceDE w:val="0"/>
              <w:autoSpaceDN w:val="0"/>
              <w:bidi w:val="0"/>
              <w:adjustRightInd w:val="0"/>
              <w:snapToGrid w:val="0"/>
              <w:spacing w:before="120" w:line="240" w:lineRule="auto"/>
              <w:jc w:val="center"/>
              <w:textAlignment w:val="baseline"/>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en-US" w:eastAsia="zh-CN" w:bidi="ar-SA"/>
              </w:rPr>
              <w:t>贵州商学院</w:t>
            </w:r>
          </w:p>
          <w:p w14:paraId="22622256">
            <w:pPr>
              <w:pStyle w:val="10"/>
              <w:jc w:val="center"/>
              <w:rPr>
                <w:rFonts w:hint="eastAsia" w:ascii="仿宋" w:hAnsi="仿宋" w:eastAsia="仿宋" w:cs="仿宋"/>
                <w:snapToGrid w:val="0"/>
                <w:color w:val="000000"/>
                <w:spacing w:val="2"/>
                <w:kern w:val="0"/>
                <w:sz w:val="21"/>
                <w:szCs w:val="21"/>
                <w:lang w:val="en-US" w:eastAsia="zh-CN" w:bidi="ar-SA"/>
              </w:rPr>
            </w:pPr>
            <w:r>
              <w:rPr>
                <w:rFonts w:hint="eastAsia" w:ascii="仿宋" w:hAnsi="仿宋" w:eastAsia="仿宋" w:cs="仿宋"/>
                <w:snapToGrid w:val="0"/>
                <w:color w:val="000000"/>
                <w:spacing w:val="2"/>
                <w:kern w:val="0"/>
                <w:sz w:val="24"/>
                <w:szCs w:val="24"/>
                <w:lang w:val="en-US" w:eastAsia="zh-CN" w:bidi="ar-SA"/>
              </w:rPr>
              <w:t>图书馆报告厅</w:t>
            </w:r>
          </w:p>
        </w:tc>
        <w:tc>
          <w:tcPr>
            <w:tcW w:w="3653" w:type="dxa"/>
            <w:vMerge w:val="continue"/>
            <w:tcBorders>
              <w:left w:val="single" w:color="auto" w:sz="4" w:space="0"/>
              <w:bottom w:val="single" w:color="auto" w:sz="4" w:space="0"/>
              <w:right w:val="single" w:color="auto" w:sz="4" w:space="0"/>
            </w:tcBorders>
            <w:noWrap w:val="0"/>
            <w:vAlign w:val="center"/>
          </w:tcPr>
          <w:p w14:paraId="35B798E3">
            <w:pPr>
              <w:pStyle w:val="10"/>
              <w:jc w:val="center"/>
              <w:rPr>
                <w:rFonts w:hint="eastAsia" w:ascii="仿宋" w:hAnsi="仿宋" w:eastAsia="仿宋" w:cs="仿宋"/>
                <w:snapToGrid w:val="0"/>
                <w:color w:val="000000"/>
                <w:spacing w:val="2"/>
                <w:kern w:val="0"/>
                <w:sz w:val="24"/>
                <w:szCs w:val="24"/>
                <w:lang w:val="en-US" w:eastAsia="zh-CN" w:bidi="ar-SA"/>
              </w:rPr>
            </w:pPr>
          </w:p>
        </w:tc>
      </w:tr>
      <w:tr w14:paraId="4B29F4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8" w:hRule="atLeast"/>
        </w:trPr>
        <w:tc>
          <w:tcPr>
            <w:tcW w:w="1590" w:type="dxa"/>
            <w:vMerge w:val="continue"/>
            <w:tcBorders>
              <w:left w:val="single" w:color="auto" w:sz="4" w:space="0"/>
              <w:right w:val="single" w:color="auto" w:sz="4" w:space="0"/>
            </w:tcBorders>
            <w:noWrap w:val="0"/>
            <w:vAlign w:val="center"/>
          </w:tcPr>
          <w:p w14:paraId="1DF5BD73">
            <w:pPr>
              <w:pStyle w:val="10"/>
              <w:jc w:val="center"/>
              <w:rPr>
                <w:rFonts w:hint="eastAsia" w:ascii="仿宋" w:hAnsi="仿宋" w:eastAsia="仿宋" w:cs="仿宋"/>
                <w:b/>
                <w:bCs/>
                <w:snapToGrid w:val="0"/>
                <w:color w:val="000000"/>
                <w:spacing w:val="2"/>
                <w:kern w:val="0"/>
                <w:sz w:val="21"/>
                <w:szCs w:val="21"/>
                <w:lang w:val="en-US" w:eastAsia="zh-CN" w:bidi="ar-SA"/>
              </w:rPr>
            </w:pPr>
          </w:p>
        </w:tc>
        <w:tc>
          <w:tcPr>
            <w:tcW w:w="1432" w:type="dxa"/>
            <w:tcBorders>
              <w:left w:val="single" w:color="auto" w:sz="4" w:space="0"/>
            </w:tcBorders>
            <w:noWrap w:val="0"/>
            <w:vAlign w:val="center"/>
          </w:tcPr>
          <w:p w14:paraId="366581C8">
            <w:pPr>
              <w:spacing w:before="120" w:line="163" w:lineRule="auto"/>
              <w:jc w:val="cente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12:40-14:00</w:t>
            </w:r>
          </w:p>
        </w:tc>
        <w:tc>
          <w:tcPr>
            <w:tcW w:w="7724" w:type="dxa"/>
            <w:gridSpan w:val="3"/>
            <w:tcBorders>
              <w:right w:val="single" w:color="auto" w:sz="4" w:space="0"/>
            </w:tcBorders>
            <w:noWrap w:val="0"/>
            <w:vAlign w:val="center"/>
          </w:tcPr>
          <w:p w14:paraId="061A3908">
            <w:pPr>
              <w:pStyle w:val="10"/>
              <w:jc w:val="center"/>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b/>
                <w:bCs/>
                <w:snapToGrid w:val="0"/>
                <w:color w:val="000000"/>
                <w:spacing w:val="2"/>
                <w:kern w:val="0"/>
                <w:sz w:val="24"/>
                <w:szCs w:val="24"/>
                <w:lang w:val="en-US" w:eastAsia="zh-CN" w:bidi="ar-SA"/>
              </w:rPr>
              <w:t>指定地点就餐 、休息室休息</w:t>
            </w:r>
          </w:p>
        </w:tc>
      </w:tr>
      <w:tr w14:paraId="06ED09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8" w:hRule="atLeast"/>
        </w:trPr>
        <w:tc>
          <w:tcPr>
            <w:tcW w:w="1590" w:type="dxa"/>
            <w:vMerge w:val="restart"/>
            <w:tcBorders>
              <w:left w:val="single" w:color="auto" w:sz="4" w:space="0"/>
              <w:right w:val="single" w:color="auto" w:sz="4" w:space="0"/>
            </w:tcBorders>
            <w:noWrap w:val="0"/>
            <w:vAlign w:val="center"/>
          </w:tcPr>
          <w:p w14:paraId="6E888C8D">
            <w:pPr>
              <w:pStyle w:val="10"/>
              <w:jc w:val="center"/>
              <w:rPr>
                <w:rFonts w:hint="eastAsia" w:ascii="仿宋" w:hAnsi="仿宋" w:eastAsia="仿宋" w:cs="仿宋"/>
                <w:b/>
                <w:bCs/>
                <w:snapToGrid w:val="0"/>
                <w:color w:val="000000"/>
                <w:spacing w:val="2"/>
                <w:kern w:val="0"/>
                <w:sz w:val="21"/>
                <w:szCs w:val="21"/>
                <w:lang w:val="en-US" w:eastAsia="zh-CN" w:bidi="ar-SA"/>
              </w:rPr>
            </w:pPr>
            <w:r>
              <w:rPr>
                <w:rFonts w:hint="eastAsia" w:ascii="仿宋" w:hAnsi="仿宋" w:eastAsia="仿宋" w:cs="仿宋"/>
                <w:b/>
                <w:bCs/>
                <w:snapToGrid w:val="0"/>
                <w:color w:val="000000"/>
                <w:spacing w:val="2"/>
                <w:kern w:val="0"/>
                <w:sz w:val="21"/>
                <w:szCs w:val="21"/>
                <w:lang w:val="en-US" w:eastAsia="zh-CN" w:bidi="ar-SA"/>
              </w:rPr>
              <w:t>2024年11月22日</w:t>
            </w:r>
            <w:r>
              <w:rPr>
                <w:rFonts w:hint="eastAsia" w:ascii="仿宋" w:hAnsi="仿宋" w:eastAsia="仿宋" w:cs="仿宋"/>
                <w:b/>
                <w:bCs/>
                <w:spacing w:val="-29"/>
                <w:position w:val="23"/>
                <w:sz w:val="24"/>
                <w:szCs w:val="24"/>
                <w:lang w:val="en-US" w:eastAsia="zh-CN"/>
              </w:rPr>
              <w:t>（第二阶段）</w:t>
            </w:r>
          </w:p>
        </w:tc>
        <w:tc>
          <w:tcPr>
            <w:tcW w:w="1432" w:type="dxa"/>
            <w:tcBorders>
              <w:left w:val="single" w:color="auto" w:sz="4" w:space="0"/>
            </w:tcBorders>
            <w:shd w:val="clear" w:color="auto" w:fill="auto"/>
            <w:noWrap w:val="0"/>
            <w:vAlign w:val="center"/>
          </w:tcPr>
          <w:p w14:paraId="5E7F5865">
            <w:pPr>
              <w:spacing w:before="120" w:line="163" w:lineRule="auto"/>
              <w:jc w:val="center"/>
              <w:rPr>
                <w:rFonts w:hint="eastAsia" w:ascii="仿宋" w:hAnsi="仿宋" w:eastAsia="仿宋" w:cs="仿宋"/>
                <w:b w:val="0"/>
                <w:bCs w:val="0"/>
                <w:snapToGrid w:val="0"/>
                <w:color w:val="000000"/>
                <w:kern w:val="0"/>
                <w:sz w:val="21"/>
                <w:szCs w:val="21"/>
                <w:lang w:val="en-US" w:eastAsia="zh-CN" w:bidi="ar-SA"/>
              </w:rPr>
            </w:pPr>
            <w:r>
              <w:rPr>
                <w:rFonts w:hint="eastAsia" w:ascii="仿宋" w:hAnsi="仿宋" w:eastAsia="仿宋" w:cs="仿宋"/>
                <w:b w:val="0"/>
                <w:bCs w:val="0"/>
                <w:snapToGrid w:val="0"/>
                <w:color w:val="000000"/>
                <w:kern w:val="0"/>
                <w:sz w:val="21"/>
                <w:szCs w:val="21"/>
                <w:lang w:val="en-US" w:eastAsia="zh-CN" w:bidi="ar-SA"/>
              </w:rPr>
              <w:t>14:30-15:30</w:t>
            </w:r>
          </w:p>
        </w:tc>
        <w:tc>
          <w:tcPr>
            <w:tcW w:w="2458" w:type="dxa"/>
            <w:tcBorders>
              <w:right w:val="single" w:color="auto" w:sz="4" w:space="0"/>
            </w:tcBorders>
            <w:shd w:val="clear" w:color="auto" w:fill="auto"/>
            <w:noWrap w:val="0"/>
            <w:vAlign w:val="center"/>
          </w:tcPr>
          <w:p w14:paraId="2D8AF20A">
            <w:pPr>
              <w:spacing w:before="120" w:line="181" w:lineRule="auto"/>
              <w:jc w:val="center"/>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en-US" w:eastAsia="zh-CN" w:bidi="ar-SA"/>
              </w:rPr>
              <w:t>节目表演及颁奖仪式</w:t>
            </w:r>
          </w:p>
        </w:tc>
        <w:tc>
          <w:tcPr>
            <w:tcW w:w="1613" w:type="dxa"/>
            <w:vMerge w:val="restart"/>
            <w:tcBorders>
              <w:left w:val="single" w:color="auto" w:sz="4" w:space="0"/>
              <w:right w:val="single" w:color="auto" w:sz="4" w:space="0"/>
            </w:tcBorders>
            <w:noWrap w:val="0"/>
            <w:vAlign w:val="center"/>
          </w:tcPr>
          <w:p w14:paraId="133F2A3C">
            <w:pPr>
              <w:keepNext w:val="0"/>
              <w:keepLines w:val="0"/>
              <w:pageBreakBefore w:val="0"/>
              <w:widowControl/>
              <w:kinsoku w:val="0"/>
              <w:wordWrap/>
              <w:overflowPunct/>
              <w:topLinePunct w:val="0"/>
              <w:autoSpaceDE w:val="0"/>
              <w:autoSpaceDN w:val="0"/>
              <w:bidi w:val="0"/>
              <w:adjustRightInd w:val="0"/>
              <w:snapToGrid w:val="0"/>
              <w:spacing w:before="120" w:line="240" w:lineRule="auto"/>
              <w:jc w:val="center"/>
              <w:textAlignment w:val="baseline"/>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en-US" w:eastAsia="zh-CN" w:bidi="ar-SA"/>
              </w:rPr>
              <w:t>贵州商学院</w:t>
            </w:r>
          </w:p>
          <w:p w14:paraId="54AD6968">
            <w:pPr>
              <w:pStyle w:val="10"/>
              <w:jc w:val="center"/>
              <w:rPr>
                <w:rFonts w:hint="eastAsia" w:ascii="仿宋" w:hAnsi="仿宋" w:eastAsia="仿宋" w:cs="仿宋"/>
                <w:snapToGrid w:val="0"/>
                <w:color w:val="000000"/>
                <w:spacing w:val="2"/>
                <w:kern w:val="0"/>
                <w:sz w:val="21"/>
                <w:szCs w:val="21"/>
                <w:lang w:val="en-US" w:eastAsia="zh-CN" w:bidi="ar-SA"/>
              </w:rPr>
            </w:pPr>
            <w:r>
              <w:rPr>
                <w:rFonts w:hint="eastAsia" w:ascii="仿宋" w:hAnsi="仿宋" w:eastAsia="仿宋" w:cs="仿宋"/>
                <w:snapToGrid w:val="0"/>
                <w:color w:val="000000"/>
                <w:spacing w:val="2"/>
                <w:kern w:val="0"/>
                <w:sz w:val="24"/>
                <w:szCs w:val="24"/>
                <w:lang w:val="en-US" w:eastAsia="zh-CN" w:bidi="ar-SA"/>
              </w:rPr>
              <w:t>图书馆报告厅</w:t>
            </w:r>
          </w:p>
        </w:tc>
        <w:tc>
          <w:tcPr>
            <w:tcW w:w="3653" w:type="dxa"/>
            <w:tcBorders>
              <w:top w:val="single" w:color="auto" w:sz="4" w:space="0"/>
              <w:left w:val="single" w:color="auto" w:sz="4" w:space="0"/>
              <w:bottom w:val="single" w:color="auto" w:sz="4" w:space="0"/>
              <w:right w:val="single" w:color="auto" w:sz="4" w:space="0"/>
            </w:tcBorders>
            <w:noWrap w:val="0"/>
            <w:vAlign w:val="center"/>
          </w:tcPr>
          <w:p w14:paraId="152634E4">
            <w:pPr>
              <w:pStyle w:val="10"/>
              <w:jc w:val="center"/>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en-US" w:eastAsia="zh-CN" w:bidi="ar-SA"/>
              </w:rPr>
              <w:t>现场嘉宾、领导</w:t>
            </w:r>
          </w:p>
        </w:tc>
      </w:tr>
      <w:tr w14:paraId="3E9FE5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1" w:hRule="atLeast"/>
        </w:trPr>
        <w:tc>
          <w:tcPr>
            <w:tcW w:w="1590" w:type="dxa"/>
            <w:vMerge w:val="continue"/>
            <w:tcBorders>
              <w:left w:val="single" w:color="auto" w:sz="4" w:space="0"/>
              <w:right w:val="single" w:color="auto" w:sz="4" w:space="0"/>
            </w:tcBorders>
            <w:noWrap w:val="0"/>
            <w:vAlign w:val="top"/>
          </w:tcPr>
          <w:p w14:paraId="21BF5573">
            <w:pPr>
              <w:pStyle w:val="10"/>
            </w:pPr>
          </w:p>
        </w:tc>
        <w:tc>
          <w:tcPr>
            <w:tcW w:w="1432" w:type="dxa"/>
            <w:tcBorders>
              <w:left w:val="single" w:color="auto" w:sz="4" w:space="0"/>
            </w:tcBorders>
            <w:noWrap w:val="0"/>
            <w:vAlign w:val="center"/>
          </w:tcPr>
          <w:p w14:paraId="49C3E1D2">
            <w:pPr>
              <w:spacing w:before="120" w:line="163" w:lineRule="auto"/>
              <w:jc w:val="center"/>
              <w:rPr>
                <w:rFonts w:hint="default" w:ascii="仿宋" w:hAnsi="仿宋" w:eastAsia="仿宋" w:cs="仿宋"/>
                <w:b/>
                <w:bCs/>
                <w:snapToGrid w:val="0"/>
                <w:color w:val="000000"/>
                <w:kern w:val="0"/>
                <w:sz w:val="24"/>
                <w:szCs w:val="24"/>
                <w:lang w:val="en-US" w:eastAsia="zh-CN" w:bidi="ar-SA"/>
              </w:rPr>
            </w:pPr>
            <w:r>
              <w:rPr>
                <w:rFonts w:hint="eastAsia" w:ascii="仿宋" w:hAnsi="仿宋" w:eastAsia="仿宋" w:cs="仿宋"/>
                <w:b w:val="0"/>
                <w:bCs w:val="0"/>
                <w:snapToGrid w:val="0"/>
                <w:color w:val="000000"/>
                <w:kern w:val="0"/>
                <w:sz w:val="21"/>
                <w:szCs w:val="21"/>
                <w:lang w:val="en-US" w:eastAsia="zh-CN" w:bidi="ar-SA"/>
              </w:rPr>
              <w:t>15:30-16:00</w:t>
            </w:r>
          </w:p>
        </w:tc>
        <w:tc>
          <w:tcPr>
            <w:tcW w:w="2458" w:type="dxa"/>
            <w:tcBorders>
              <w:right w:val="single" w:color="auto" w:sz="4" w:space="0"/>
            </w:tcBorders>
            <w:noWrap w:val="0"/>
            <w:vAlign w:val="center"/>
          </w:tcPr>
          <w:p w14:paraId="3DD7A44E">
            <w:pPr>
              <w:spacing w:before="120" w:line="181" w:lineRule="auto"/>
              <w:jc w:val="center"/>
              <w:rPr>
                <w:rFonts w:hint="default"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en-US" w:eastAsia="zh-CN" w:bidi="ar-SA"/>
              </w:rPr>
              <w:t>闭幕式（领导致辞）</w:t>
            </w:r>
          </w:p>
        </w:tc>
        <w:tc>
          <w:tcPr>
            <w:tcW w:w="1613" w:type="dxa"/>
            <w:vMerge w:val="continue"/>
            <w:tcBorders>
              <w:left w:val="single" w:color="auto" w:sz="4" w:space="0"/>
              <w:right w:val="single" w:color="auto" w:sz="4" w:space="0"/>
            </w:tcBorders>
            <w:noWrap w:val="0"/>
            <w:vAlign w:val="center"/>
          </w:tcPr>
          <w:p w14:paraId="0780E656">
            <w:pPr>
              <w:pStyle w:val="10"/>
              <w:jc w:val="center"/>
            </w:pPr>
          </w:p>
        </w:tc>
        <w:tc>
          <w:tcPr>
            <w:tcW w:w="3653" w:type="dxa"/>
            <w:tcBorders>
              <w:top w:val="single" w:color="auto" w:sz="4" w:space="0"/>
              <w:left w:val="single" w:color="auto" w:sz="4" w:space="0"/>
              <w:bottom w:val="single" w:color="auto" w:sz="4" w:space="0"/>
              <w:right w:val="single" w:color="auto" w:sz="4" w:space="0"/>
            </w:tcBorders>
            <w:noWrap w:val="0"/>
            <w:vAlign w:val="center"/>
          </w:tcPr>
          <w:p w14:paraId="278CB3C5">
            <w:pPr>
              <w:pStyle w:val="10"/>
              <w:jc w:val="center"/>
              <w:rPr>
                <w:rFonts w:hint="default" w:eastAsia="宋体"/>
                <w:lang w:val="en-US" w:eastAsia="zh-CN"/>
              </w:rPr>
            </w:pPr>
            <w:r>
              <w:rPr>
                <w:rFonts w:hint="eastAsia" w:ascii="仿宋" w:hAnsi="仿宋" w:eastAsia="仿宋" w:cs="仿宋"/>
                <w:snapToGrid w:val="0"/>
                <w:color w:val="000000"/>
                <w:spacing w:val="2"/>
                <w:kern w:val="0"/>
                <w:sz w:val="24"/>
                <w:szCs w:val="24"/>
                <w:lang w:val="en-US" w:eastAsia="zh-CN" w:bidi="ar-SA"/>
              </w:rPr>
              <w:t>学校领导</w:t>
            </w:r>
          </w:p>
        </w:tc>
      </w:tr>
      <w:tr w14:paraId="7D6E94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5" w:hRule="atLeast"/>
        </w:trPr>
        <w:tc>
          <w:tcPr>
            <w:tcW w:w="1590" w:type="dxa"/>
            <w:vMerge w:val="continue"/>
            <w:tcBorders>
              <w:left w:val="single" w:color="auto" w:sz="4" w:space="0"/>
              <w:bottom w:val="single" w:color="auto" w:sz="4" w:space="0"/>
              <w:right w:val="single" w:color="auto" w:sz="4" w:space="0"/>
            </w:tcBorders>
            <w:noWrap w:val="0"/>
            <w:vAlign w:val="top"/>
          </w:tcPr>
          <w:p w14:paraId="525C65F5">
            <w:pPr>
              <w:pStyle w:val="10"/>
            </w:pPr>
          </w:p>
        </w:tc>
        <w:tc>
          <w:tcPr>
            <w:tcW w:w="1432" w:type="dxa"/>
            <w:tcBorders>
              <w:left w:val="single" w:color="auto" w:sz="4" w:space="0"/>
            </w:tcBorders>
            <w:noWrap w:val="0"/>
            <w:vAlign w:val="center"/>
          </w:tcPr>
          <w:p w14:paraId="5C5F3B39">
            <w:pPr>
              <w:spacing w:before="120" w:line="163" w:lineRule="auto"/>
              <w:jc w:val="center"/>
              <w:rPr>
                <w:rFonts w:hint="eastAsia" w:ascii="仿宋" w:hAnsi="仿宋" w:eastAsia="仿宋" w:cs="仿宋"/>
                <w:b/>
                <w:bCs/>
                <w:snapToGrid w:val="0"/>
                <w:color w:val="000000"/>
                <w:kern w:val="0"/>
                <w:sz w:val="24"/>
                <w:szCs w:val="24"/>
                <w:lang w:val="en-US" w:eastAsia="zh-CN" w:bidi="ar-SA"/>
              </w:rPr>
            </w:pPr>
            <w:r>
              <w:rPr>
                <w:rFonts w:hint="eastAsia" w:ascii="仿宋" w:hAnsi="仿宋" w:eastAsia="仿宋" w:cs="仿宋"/>
                <w:b w:val="0"/>
                <w:bCs w:val="0"/>
                <w:snapToGrid w:val="0"/>
                <w:color w:val="000000"/>
                <w:kern w:val="0"/>
                <w:sz w:val="21"/>
                <w:szCs w:val="21"/>
                <w:lang w:val="en-US" w:eastAsia="zh-CN" w:bidi="ar-SA"/>
              </w:rPr>
              <w:t>16:30-16:50</w:t>
            </w:r>
          </w:p>
        </w:tc>
        <w:tc>
          <w:tcPr>
            <w:tcW w:w="2458" w:type="dxa"/>
            <w:tcBorders>
              <w:right w:val="single" w:color="auto" w:sz="4" w:space="0"/>
            </w:tcBorders>
            <w:noWrap w:val="0"/>
            <w:vAlign w:val="center"/>
          </w:tcPr>
          <w:p w14:paraId="6B44AE97">
            <w:pPr>
              <w:spacing w:before="120" w:line="181" w:lineRule="auto"/>
              <w:jc w:val="center"/>
              <w:rPr>
                <w:rFonts w:hint="default"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en-US" w:eastAsia="zh-CN" w:bidi="ar-SA"/>
              </w:rPr>
              <w:t>合影留念</w:t>
            </w:r>
          </w:p>
        </w:tc>
        <w:tc>
          <w:tcPr>
            <w:tcW w:w="1613" w:type="dxa"/>
            <w:tcBorders>
              <w:left w:val="single" w:color="auto" w:sz="4" w:space="0"/>
              <w:bottom w:val="single" w:color="auto" w:sz="4" w:space="0"/>
              <w:right w:val="single" w:color="auto" w:sz="4" w:space="0"/>
            </w:tcBorders>
            <w:noWrap w:val="0"/>
            <w:vAlign w:val="center"/>
          </w:tcPr>
          <w:p w14:paraId="211ACD74">
            <w:pPr>
              <w:pStyle w:val="10"/>
              <w:jc w:val="center"/>
              <w:rPr>
                <w:rFonts w:hint="eastAsia" w:eastAsia="宋体"/>
                <w:lang w:val="en-US" w:eastAsia="zh-CN"/>
              </w:rPr>
            </w:pPr>
            <w:r>
              <w:rPr>
                <w:rFonts w:hint="eastAsia" w:ascii="仿宋" w:hAnsi="仿宋" w:eastAsia="仿宋" w:cs="仿宋"/>
                <w:snapToGrid w:val="0"/>
                <w:color w:val="000000"/>
                <w:spacing w:val="2"/>
                <w:kern w:val="0"/>
                <w:sz w:val="24"/>
                <w:szCs w:val="24"/>
                <w:lang w:val="en-US" w:eastAsia="zh-CN" w:bidi="ar-SA"/>
              </w:rPr>
              <w:t>商云广场</w:t>
            </w:r>
          </w:p>
        </w:tc>
        <w:tc>
          <w:tcPr>
            <w:tcW w:w="3653" w:type="dxa"/>
            <w:tcBorders>
              <w:top w:val="single" w:color="auto" w:sz="4" w:space="0"/>
              <w:left w:val="single" w:color="auto" w:sz="4" w:space="0"/>
              <w:bottom w:val="single" w:color="auto" w:sz="4" w:space="0"/>
              <w:right w:val="single" w:color="auto" w:sz="4" w:space="0"/>
            </w:tcBorders>
            <w:noWrap w:val="0"/>
            <w:vAlign w:val="center"/>
          </w:tcPr>
          <w:p w14:paraId="44BA5F11">
            <w:pPr>
              <w:pStyle w:val="10"/>
              <w:jc w:val="center"/>
              <w:rPr>
                <w:rFonts w:hint="default"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en-US" w:eastAsia="zh-CN" w:bidi="ar-SA"/>
              </w:rPr>
              <w:t>嘉宾、领导、参赛选手</w:t>
            </w:r>
          </w:p>
        </w:tc>
      </w:tr>
    </w:tbl>
    <w:p w14:paraId="5D8C29A1"/>
    <w:p w14:paraId="46A9771D"/>
    <w:p w14:paraId="785EAFD0"/>
    <w:p w14:paraId="3B2F4DD9"/>
    <w:p w14:paraId="2E7352E2">
      <w:pPr>
        <w:sectPr>
          <w:pgSz w:w="11906" w:h="16838"/>
          <w:pgMar w:top="1440" w:right="1800" w:bottom="1440" w:left="1800" w:header="851" w:footer="992" w:gutter="0"/>
          <w:cols w:space="720" w:num="1"/>
          <w:docGrid w:type="lines" w:linePitch="312" w:charSpace="0"/>
        </w:sectPr>
      </w:pPr>
      <w:r>
        <w:br w:type="page"/>
      </w:r>
    </w:p>
    <w:p w14:paraId="539B5A5C">
      <w:pPr>
        <w:pStyle w:val="2"/>
        <w:spacing w:before="200" w:line="172" w:lineRule="auto"/>
        <w:jc w:val="both"/>
        <w:rPr>
          <w:rFonts w:hint="default" w:ascii="黑体" w:hAnsi="黑体" w:eastAsia="黑体" w:cs="黑体"/>
          <w:sz w:val="36"/>
          <w:szCs w:val="36"/>
          <w:lang w:val="en-US" w:eastAsia="zh-CN"/>
        </w:rPr>
      </w:pPr>
      <w:r>
        <w:rPr>
          <w:rFonts w:hint="eastAsia" w:ascii="黑体" w:hAnsi="黑体" w:eastAsia="黑体" w:cs="黑体"/>
          <w:sz w:val="36"/>
          <w:szCs w:val="36"/>
          <w:lang w:eastAsia="zh-CN"/>
        </w:rPr>
        <w:t>附件</w:t>
      </w:r>
      <w:r>
        <w:rPr>
          <w:rFonts w:hint="eastAsia" w:ascii="黑体" w:hAnsi="黑体" w:eastAsia="黑体" w:cs="黑体"/>
          <w:sz w:val="36"/>
          <w:szCs w:val="36"/>
          <w:lang w:val="en-US" w:eastAsia="zh-CN"/>
        </w:rPr>
        <w:t>2</w:t>
      </w:r>
    </w:p>
    <w:tbl>
      <w:tblPr>
        <w:tblStyle w:val="6"/>
        <w:tblW w:w="14363" w:type="dxa"/>
        <w:tblInd w:w="-1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750"/>
        <w:gridCol w:w="1500"/>
        <w:gridCol w:w="1168"/>
        <w:gridCol w:w="1092"/>
        <w:gridCol w:w="1092"/>
        <w:gridCol w:w="1092"/>
        <w:gridCol w:w="1094"/>
        <w:gridCol w:w="1094"/>
        <w:gridCol w:w="1094"/>
        <w:gridCol w:w="959"/>
        <w:gridCol w:w="1229"/>
        <w:gridCol w:w="1094"/>
        <w:gridCol w:w="1105"/>
      </w:tblGrid>
      <w:tr w14:paraId="1032B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734" w:hRule="atLeast"/>
        </w:trPr>
        <w:tc>
          <w:tcPr>
            <w:tcW w:w="14363" w:type="dxa"/>
            <w:gridSpan w:val="13"/>
          </w:tcPr>
          <w:p w14:paraId="5FB95F1F">
            <w:pPr>
              <w:jc w:val="center"/>
              <w:rPr>
                <w:vertAlign w:val="baseline"/>
              </w:rPr>
            </w:pPr>
            <w:r>
              <w:rPr>
                <w:rFonts w:hint="eastAsia" w:ascii="黑体" w:hAnsi="黑体" w:eastAsia="黑体" w:cs="黑体"/>
                <w:b/>
                <w:bCs/>
                <w:sz w:val="44"/>
                <w:szCs w:val="44"/>
                <w:vertAlign w:val="baseline"/>
              </w:rPr>
              <w:t>2024中国—东盟中华经典诵读大赛现场展演作品信息采集表</w:t>
            </w:r>
          </w:p>
        </w:tc>
      </w:tr>
      <w:tr w14:paraId="37741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905" w:hRule="atLeast"/>
        </w:trPr>
        <w:tc>
          <w:tcPr>
            <w:tcW w:w="750" w:type="dxa"/>
            <w:vAlign w:val="center"/>
          </w:tcPr>
          <w:p w14:paraId="76ABC4AC">
            <w:pPr>
              <w:jc w:val="center"/>
              <w:rPr>
                <w:rFonts w:hint="eastAsia" w:ascii="仿宋" w:hAnsi="仿宋" w:eastAsia="仿宋" w:cs="仿宋"/>
                <w:sz w:val="24"/>
                <w:szCs w:val="24"/>
                <w:vertAlign w:val="baseline"/>
              </w:rPr>
            </w:pPr>
            <w:r>
              <w:rPr>
                <w:rFonts w:hint="eastAsia" w:ascii="仿宋" w:hAnsi="仿宋" w:eastAsia="仿宋" w:cs="仿宋"/>
                <w:sz w:val="24"/>
                <w:szCs w:val="24"/>
                <w:vertAlign w:val="baseline"/>
              </w:rPr>
              <w:t>序号</w:t>
            </w:r>
          </w:p>
        </w:tc>
        <w:tc>
          <w:tcPr>
            <w:tcW w:w="1500" w:type="dxa"/>
            <w:vAlign w:val="center"/>
          </w:tcPr>
          <w:p w14:paraId="6AD51E56">
            <w:pPr>
              <w:jc w:val="center"/>
              <w:rPr>
                <w:rFonts w:hint="eastAsia" w:ascii="仿宋" w:hAnsi="仿宋" w:eastAsia="仿宋" w:cs="仿宋"/>
                <w:sz w:val="24"/>
                <w:szCs w:val="24"/>
                <w:vertAlign w:val="baseline"/>
              </w:rPr>
            </w:pPr>
            <w:r>
              <w:rPr>
                <w:rFonts w:hint="eastAsia" w:ascii="仿宋" w:hAnsi="仿宋" w:eastAsia="仿宋" w:cs="仿宋"/>
                <w:sz w:val="24"/>
                <w:szCs w:val="24"/>
                <w:vertAlign w:val="baseline"/>
              </w:rPr>
              <w:t>作品名称、时长</w:t>
            </w:r>
          </w:p>
        </w:tc>
        <w:tc>
          <w:tcPr>
            <w:tcW w:w="1168" w:type="dxa"/>
            <w:vAlign w:val="center"/>
          </w:tcPr>
          <w:p w14:paraId="4C23DA92">
            <w:pPr>
              <w:jc w:val="center"/>
              <w:rPr>
                <w:rFonts w:hint="eastAsia" w:ascii="仿宋" w:hAnsi="仿宋" w:eastAsia="仿宋" w:cs="仿宋"/>
                <w:sz w:val="24"/>
                <w:szCs w:val="24"/>
                <w:vertAlign w:val="baseline"/>
              </w:rPr>
            </w:pPr>
            <w:r>
              <w:rPr>
                <w:rFonts w:hint="eastAsia" w:ascii="仿宋" w:hAnsi="仿宋" w:eastAsia="仿宋" w:cs="仿宋"/>
                <w:sz w:val="24"/>
                <w:szCs w:val="24"/>
                <w:vertAlign w:val="baseline"/>
              </w:rPr>
              <w:t>演出单位</w:t>
            </w:r>
          </w:p>
        </w:tc>
        <w:tc>
          <w:tcPr>
            <w:tcW w:w="1092" w:type="dxa"/>
            <w:vAlign w:val="center"/>
          </w:tcPr>
          <w:p w14:paraId="26BCEAA5">
            <w:pPr>
              <w:jc w:val="center"/>
              <w:rPr>
                <w:rFonts w:hint="eastAsia" w:ascii="仿宋" w:hAnsi="仿宋" w:eastAsia="仿宋" w:cs="仿宋"/>
                <w:sz w:val="24"/>
                <w:szCs w:val="24"/>
                <w:vertAlign w:val="baseline"/>
              </w:rPr>
            </w:pPr>
            <w:r>
              <w:rPr>
                <w:rFonts w:hint="eastAsia" w:ascii="仿宋" w:hAnsi="仿宋" w:eastAsia="仿宋" w:cs="仿宋"/>
                <w:sz w:val="24"/>
                <w:szCs w:val="24"/>
                <w:vertAlign w:val="baseline"/>
              </w:rPr>
              <w:t>节目组别（教师组/学生组）</w:t>
            </w:r>
          </w:p>
        </w:tc>
        <w:tc>
          <w:tcPr>
            <w:tcW w:w="1092" w:type="dxa"/>
            <w:vAlign w:val="center"/>
          </w:tcPr>
          <w:p w14:paraId="326513B4">
            <w:pPr>
              <w:jc w:val="center"/>
              <w:rPr>
                <w:rFonts w:hint="eastAsia" w:ascii="仿宋" w:hAnsi="仿宋" w:eastAsia="仿宋" w:cs="仿宋"/>
                <w:sz w:val="24"/>
                <w:szCs w:val="24"/>
                <w:vertAlign w:val="baseline"/>
              </w:rPr>
            </w:pPr>
            <w:r>
              <w:rPr>
                <w:rFonts w:hint="eastAsia" w:ascii="仿宋" w:hAnsi="仿宋" w:eastAsia="仿宋" w:cs="仿宋"/>
                <w:sz w:val="24"/>
                <w:szCs w:val="24"/>
                <w:vertAlign w:val="baseline"/>
              </w:rPr>
              <w:t>主要演员姓名</w:t>
            </w:r>
          </w:p>
        </w:tc>
        <w:tc>
          <w:tcPr>
            <w:tcW w:w="1092" w:type="dxa"/>
            <w:vAlign w:val="center"/>
          </w:tcPr>
          <w:p w14:paraId="54C3CBB7">
            <w:pPr>
              <w:jc w:val="center"/>
              <w:rPr>
                <w:rFonts w:hint="eastAsia" w:ascii="仿宋" w:hAnsi="仿宋" w:eastAsia="仿宋" w:cs="仿宋"/>
                <w:sz w:val="24"/>
                <w:szCs w:val="24"/>
                <w:vertAlign w:val="baseline"/>
              </w:rPr>
            </w:pPr>
            <w:r>
              <w:rPr>
                <w:rFonts w:hint="eastAsia" w:ascii="仿宋" w:hAnsi="仿宋" w:eastAsia="仿宋" w:cs="仿宋"/>
                <w:sz w:val="24"/>
                <w:szCs w:val="24"/>
                <w:vertAlign w:val="baseline"/>
              </w:rPr>
              <w:t>演员总人数</w:t>
            </w:r>
          </w:p>
        </w:tc>
        <w:tc>
          <w:tcPr>
            <w:tcW w:w="1094" w:type="dxa"/>
            <w:vAlign w:val="center"/>
          </w:tcPr>
          <w:p w14:paraId="4FA93209">
            <w:pPr>
              <w:jc w:val="center"/>
              <w:rPr>
                <w:rFonts w:hint="eastAsia" w:ascii="仿宋" w:hAnsi="仿宋" w:eastAsia="仿宋" w:cs="仿宋"/>
                <w:sz w:val="24"/>
                <w:szCs w:val="24"/>
                <w:vertAlign w:val="baseline"/>
              </w:rPr>
            </w:pPr>
            <w:r>
              <w:rPr>
                <w:rFonts w:hint="eastAsia" w:ascii="仿宋" w:hAnsi="仿宋" w:eastAsia="仿宋" w:cs="仿宋"/>
                <w:sz w:val="24"/>
                <w:szCs w:val="24"/>
                <w:vertAlign w:val="baseline"/>
              </w:rPr>
              <w:t>指导教师姓名</w:t>
            </w:r>
          </w:p>
        </w:tc>
        <w:tc>
          <w:tcPr>
            <w:tcW w:w="1094" w:type="dxa"/>
            <w:vAlign w:val="center"/>
          </w:tcPr>
          <w:p w14:paraId="3EA404F9">
            <w:pPr>
              <w:jc w:val="center"/>
              <w:rPr>
                <w:rFonts w:hint="eastAsia" w:ascii="仿宋" w:hAnsi="仿宋" w:eastAsia="仿宋" w:cs="仿宋"/>
                <w:sz w:val="24"/>
                <w:szCs w:val="24"/>
                <w:vertAlign w:val="baseline"/>
              </w:rPr>
            </w:pPr>
            <w:r>
              <w:rPr>
                <w:rFonts w:hint="eastAsia" w:ascii="仿宋" w:hAnsi="仿宋" w:eastAsia="仿宋" w:cs="仿宋"/>
                <w:sz w:val="24"/>
                <w:szCs w:val="24"/>
                <w:vertAlign w:val="baseline"/>
              </w:rPr>
              <w:t>领队姓名</w:t>
            </w:r>
          </w:p>
        </w:tc>
        <w:tc>
          <w:tcPr>
            <w:tcW w:w="1094" w:type="dxa"/>
            <w:vAlign w:val="center"/>
          </w:tcPr>
          <w:p w14:paraId="2073EC06">
            <w:pPr>
              <w:jc w:val="center"/>
              <w:rPr>
                <w:rFonts w:hint="eastAsia" w:ascii="仿宋" w:hAnsi="仿宋" w:eastAsia="仿宋" w:cs="仿宋"/>
                <w:sz w:val="24"/>
                <w:szCs w:val="24"/>
                <w:vertAlign w:val="baseline"/>
              </w:rPr>
            </w:pPr>
            <w:r>
              <w:rPr>
                <w:rFonts w:hint="eastAsia" w:ascii="仿宋" w:hAnsi="仿宋" w:eastAsia="仿宋" w:cs="仿宋"/>
                <w:sz w:val="24"/>
                <w:szCs w:val="24"/>
                <w:vertAlign w:val="baseline"/>
              </w:rPr>
              <w:t>领队联系电话</w:t>
            </w:r>
          </w:p>
        </w:tc>
        <w:tc>
          <w:tcPr>
            <w:tcW w:w="959" w:type="dxa"/>
            <w:vAlign w:val="center"/>
          </w:tcPr>
          <w:p w14:paraId="5071B099">
            <w:pPr>
              <w:jc w:val="center"/>
              <w:rPr>
                <w:rFonts w:hint="eastAsia" w:ascii="仿宋" w:hAnsi="仿宋" w:eastAsia="仿宋" w:cs="仿宋"/>
                <w:sz w:val="24"/>
                <w:szCs w:val="24"/>
                <w:vertAlign w:val="baseline"/>
              </w:rPr>
            </w:pPr>
            <w:r>
              <w:rPr>
                <w:rFonts w:hint="eastAsia" w:ascii="仿宋" w:hAnsi="仿宋" w:eastAsia="仿宋" w:cs="仿宋"/>
                <w:sz w:val="24"/>
                <w:szCs w:val="24"/>
                <w:vertAlign w:val="baseline"/>
              </w:rPr>
              <w:t>QQ号码、邮箱</w:t>
            </w:r>
          </w:p>
        </w:tc>
        <w:tc>
          <w:tcPr>
            <w:tcW w:w="1229" w:type="dxa"/>
            <w:vAlign w:val="center"/>
          </w:tcPr>
          <w:p w14:paraId="32F445C5">
            <w:pPr>
              <w:jc w:val="center"/>
              <w:rPr>
                <w:rFonts w:hint="eastAsia" w:ascii="仿宋" w:hAnsi="仿宋" w:eastAsia="仿宋" w:cs="仿宋"/>
                <w:sz w:val="24"/>
                <w:szCs w:val="24"/>
                <w:vertAlign w:val="baseline"/>
              </w:rPr>
            </w:pPr>
            <w:r>
              <w:rPr>
                <w:rFonts w:hint="eastAsia" w:ascii="仿宋" w:hAnsi="仿宋" w:eastAsia="仿宋" w:cs="仿宋"/>
                <w:sz w:val="24"/>
                <w:szCs w:val="24"/>
                <w:vertAlign w:val="baseline"/>
              </w:rPr>
              <w:t>道具需求</w:t>
            </w:r>
          </w:p>
        </w:tc>
        <w:tc>
          <w:tcPr>
            <w:tcW w:w="1094" w:type="dxa"/>
            <w:vAlign w:val="center"/>
          </w:tcPr>
          <w:p w14:paraId="05E05879">
            <w:pPr>
              <w:jc w:val="center"/>
              <w:rPr>
                <w:vertAlign w:val="baseline"/>
              </w:rPr>
            </w:pPr>
            <w:r>
              <w:rPr>
                <w:rFonts w:hint="eastAsia" w:ascii="仿宋" w:hAnsi="仿宋" w:eastAsia="仿宋" w:cs="仿宋"/>
                <w:sz w:val="24"/>
                <w:szCs w:val="24"/>
                <w:vertAlign w:val="baseline"/>
              </w:rPr>
              <w:t>是否有音乐与LED视频</w:t>
            </w:r>
          </w:p>
        </w:tc>
        <w:tc>
          <w:tcPr>
            <w:tcW w:w="1105" w:type="dxa"/>
            <w:vAlign w:val="center"/>
          </w:tcPr>
          <w:p w14:paraId="3AC3EC4E">
            <w:pPr>
              <w:jc w:val="center"/>
              <w:rPr>
                <w:vertAlign w:val="baseline"/>
              </w:rPr>
            </w:pPr>
            <w:r>
              <w:rPr>
                <w:rFonts w:hint="eastAsia" w:ascii="仿宋" w:hAnsi="仿宋" w:eastAsia="仿宋" w:cs="仿宋"/>
                <w:sz w:val="24"/>
                <w:szCs w:val="24"/>
                <w:vertAlign w:val="baseline"/>
              </w:rPr>
              <w:t>是否参加现场展演</w:t>
            </w:r>
          </w:p>
        </w:tc>
      </w:tr>
      <w:tr w14:paraId="73227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654" w:hRule="atLeast"/>
        </w:trPr>
        <w:tc>
          <w:tcPr>
            <w:tcW w:w="750" w:type="dxa"/>
          </w:tcPr>
          <w:p w14:paraId="7185F24E">
            <w:pPr>
              <w:rPr>
                <w:vertAlign w:val="baseline"/>
              </w:rPr>
            </w:pPr>
          </w:p>
        </w:tc>
        <w:tc>
          <w:tcPr>
            <w:tcW w:w="1500" w:type="dxa"/>
          </w:tcPr>
          <w:p w14:paraId="35DE4AF4">
            <w:pPr>
              <w:rPr>
                <w:vertAlign w:val="baseline"/>
              </w:rPr>
            </w:pPr>
          </w:p>
        </w:tc>
        <w:tc>
          <w:tcPr>
            <w:tcW w:w="1168" w:type="dxa"/>
          </w:tcPr>
          <w:p w14:paraId="2090AA0F">
            <w:pPr>
              <w:rPr>
                <w:vertAlign w:val="baseline"/>
              </w:rPr>
            </w:pPr>
          </w:p>
        </w:tc>
        <w:tc>
          <w:tcPr>
            <w:tcW w:w="1092" w:type="dxa"/>
          </w:tcPr>
          <w:p w14:paraId="43F1FB56">
            <w:pPr>
              <w:rPr>
                <w:vertAlign w:val="baseline"/>
              </w:rPr>
            </w:pPr>
          </w:p>
        </w:tc>
        <w:tc>
          <w:tcPr>
            <w:tcW w:w="1092" w:type="dxa"/>
          </w:tcPr>
          <w:p w14:paraId="2448FC17">
            <w:pPr>
              <w:rPr>
                <w:vertAlign w:val="baseline"/>
              </w:rPr>
            </w:pPr>
          </w:p>
        </w:tc>
        <w:tc>
          <w:tcPr>
            <w:tcW w:w="1092" w:type="dxa"/>
          </w:tcPr>
          <w:p w14:paraId="3F80FF25">
            <w:pPr>
              <w:rPr>
                <w:vertAlign w:val="baseline"/>
              </w:rPr>
            </w:pPr>
          </w:p>
        </w:tc>
        <w:tc>
          <w:tcPr>
            <w:tcW w:w="1094" w:type="dxa"/>
          </w:tcPr>
          <w:p w14:paraId="364C9045">
            <w:pPr>
              <w:rPr>
                <w:vertAlign w:val="baseline"/>
              </w:rPr>
            </w:pPr>
          </w:p>
        </w:tc>
        <w:tc>
          <w:tcPr>
            <w:tcW w:w="1094" w:type="dxa"/>
          </w:tcPr>
          <w:p w14:paraId="70122CE5">
            <w:pPr>
              <w:rPr>
                <w:vertAlign w:val="baseline"/>
              </w:rPr>
            </w:pPr>
          </w:p>
        </w:tc>
        <w:tc>
          <w:tcPr>
            <w:tcW w:w="1094" w:type="dxa"/>
          </w:tcPr>
          <w:p w14:paraId="3F14F7C9">
            <w:pPr>
              <w:rPr>
                <w:vertAlign w:val="baseline"/>
              </w:rPr>
            </w:pPr>
          </w:p>
        </w:tc>
        <w:tc>
          <w:tcPr>
            <w:tcW w:w="959" w:type="dxa"/>
          </w:tcPr>
          <w:p w14:paraId="29A47888">
            <w:pPr>
              <w:rPr>
                <w:vertAlign w:val="baseline"/>
              </w:rPr>
            </w:pPr>
          </w:p>
        </w:tc>
        <w:tc>
          <w:tcPr>
            <w:tcW w:w="1229" w:type="dxa"/>
          </w:tcPr>
          <w:p w14:paraId="74741B36">
            <w:pPr>
              <w:rPr>
                <w:vertAlign w:val="baseline"/>
              </w:rPr>
            </w:pPr>
          </w:p>
        </w:tc>
        <w:tc>
          <w:tcPr>
            <w:tcW w:w="1094" w:type="dxa"/>
          </w:tcPr>
          <w:p w14:paraId="61A4A528">
            <w:pPr>
              <w:rPr>
                <w:vertAlign w:val="baseline"/>
              </w:rPr>
            </w:pPr>
          </w:p>
        </w:tc>
        <w:tc>
          <w:tcPr>
            <w:tcW w:w="1105" w:type="dxa"/>
          </w:tcPr>
          <w:p w14:paraId="330FE52C">
            <w:pPr>
              <w:rPr>
                <w:vertAlign w:val="baseline"/>
              </w:rPr>
            </w:pPr>
          </w:p>
        </w:tc>
      </w:tr>
      <w:tr w14:paraId="754A4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654" w:hRule="atLeast"/>
        </w:trPr>
        <w:tc>
          <w:tcPr>
            <w:tcW w:w="750" w:type="dxa"/>
          </w:tcPr>
          <w:p w14:paraId="2DBF261C">
            <w:pPr>
              <w:rPr>
                <w:vertAlign w:val="baseline"/>
              </w:rPr>
            </w:pPr>
          </w:p>
        </w:tc>
        <w:tc>
          <w:tcPr>
            <w:tcW w:w="1500" w:type="dxa"/>
          </w:tcPr>
          <w:p w14:paraId="7568B43D">
            <w:pPr>
              <w:rPr>
                <w:vertAlign w:val="baseline"/>
              </w:rPr>
            </w:pPr>
          </w:p>
        </w:tc>
        <w:tc>
          <w:tcPr>
            <w:tcW w:w="1168" w:type="dxa"/>
          </w:tcPr>
          <w:p w14:paraId="2445BA00">
            <w:pPr>
              <w:rPr>
                <w:vertAlign w:val="baseline"/>
              </w:rPr>
            </w:pPr>
          </w:p>
        </w:tc>
        <w:tc>
          <w:tcPr>
            <w:tcW w:w="1092" w:type="dxa"/>
          </w:tcPr>
          <w:p w14:paraId="4B5C1526">
            <w:pPr>
              <w:rPr>
                <w:vertAlign w:val="baseline"/>
              </w:rPr>
            </w:pPr>
          </w:p>
        </w:tc>
        <w:tc>
          <w:tcPr>
            <w:tcW w:w="1092" w:type="dxa"/>
          </w:tcPr>
          <w:p w14:paraId="5419016F">
            <w:pPr>
              <w:rPr>
                <w:vertAlign w:val="baseline"/>
              </w:rPr>
            </w:pPr>
          </w:p>
        </w:tc>
        <w:tc>
          <w:tcPr>
            <w:tcW w:w="1092" w:type="dxa"/>
          </w:tcPr>
          <w:p w14:paraId="34D04E76">
            <w:pPr>
              <w:rPr>
                <w:vertAlign w:val="baseline"/>
              </w:rPr>
            </w:pPr>
          </w:p>
        </w:tc>
        <w:tc>
          <w:tcPr>
            <w:tcW w:w="1094" w:type="dxa"/>
          </w:tcPr>
          <w:p w14:paraId="20605A15">
            <w:pPr>
              <w:rPr>
                <w:vertAlign w:val="baseline"/>
              </w:rPr>
            </w:pPr>
          </w:p>
        </w:tc>
        <w:tc>
          <w:tcPr>
            <w:tcW w:w="1094" w:type="dxa"/>
          </w:tcPr>
          <w:p w14:paraId="2132EEBC">
            <w:pPr>
              <w:rPr>
                <w:vertAlign w:val="baseline"/>
              </w:rPr>
            </w:pPr>
          </w:p>
        </w:tc>
        <w:tc>
          <w:tcPr>
            <w:tcW w:w="1094" w:type="dxa"/>
          </w:tcPr>
          <w:p w14:paraId="0782E027">
            <w:pPr>
              <w:rPr>
                <w:vertAlign w:val="baseline"/>
              </w:rPr>
            </w:pPr>
          </w:p>
        </w:tc>
        <w:tc>
          <w:tcPr>
            <w:tcW w:w="959" w:type="dxa"/>
          </w:tcPr>
          <w:p w14:paraId="061FCC4A">
            <w:pPr>
              <w:rPr>
                <w:vertAlign w:val="baseline"/>
              </w:rPr>
            </w:pPr>
          </w:p>
        </w:tc>
        <w:tc>
          <w:tcPr>
            <w:tcW w:w="1229" w:type="dxa"/>
          </w:tcPr>
          <w:p w14:paraId="38AD64E6">
            <w:pPr>
              <w:rPr>
                <w:vertAlign w:val="baseline"/>
              </w:rPr>
            </w:pPr>
          </w:p>
        </w:tc>
        <w:tc>
          <w:tcPr>
            <w:tcW w:w="1094" w:type="dxa"/>
          </w:tcPr>
          <w:p w14:paraId="3122B1CA">
            <w:pPr>
              <w:rPr>
                <w:vertAlign w:val="baseline"/>
              </w:rPr>
            </w:pPr>
          </w:p>
        </w:tc>
        <w:tc>
          <w:tcPr>
            <w:tcW w:w="1105" w:type="dxa"/>
          </w:tcPr>
          <w:p w14:paraId="681FA557">
            <w:pPr>
              <w:rPr>
                <w:vertAlign w:val="baseline"/>
              </w:rPr>
            </w:pPr>
          </w:p>
        </w:tc>
      </w:tr>
      <w:tr w14:paraId="30E7E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0" w:hRule="atLeast"/>
        </w:trPr>
        <w:tc>
          <w:tcPr>
            <w:tcW w:w="750" w:type="dxa"/>
          </w:tcPr>
          <w:p w14:paraId="2915476C">
            <w:pPr>
              <w:rPr>
                <w:vertAlign w:val="baseline"/>
              </w:rPr>
            </w:pPr>
          </w:p>
        </w:tc>
        <w:tc>
          <w:tcPr>
            <w:tcW w:w="1500" w:type="dxa"/>
          </w:tcPr>
          <w:p w14:paraId="3F803625">
            <w:pPr>
              <w:rPr>
                <w:vertAlign w:val="baseline"/>
              </w:rPr>
            </w:pPr>
          </w:p>
        </w:tc>
        <w:tc>
          <w:tcPr>
            <w:tcW w:w="1168" w:type="dxa"/>
          </w:tcPr>
          <w:p w14:paraId="7A4875F3">
            <w:pPr>
              <w:rPr>
                <w:vertAlign w:val="baseline"/>
              </w:rPr>
            </w:pPr>
          </w:p>
        </w:tc>
        <w:tc>
          <w:tcPr>
            <w:tcW w:w="1092" w:type="dxa"/>
          </w:tcPr>
          <w:p w14:paraId="49FFD456">
            <w:pPr>
              <w:rPr>
                <w:vertAlign w:val="baseline"/>
              </w:rPr>
            </w:pPr>
          </w:p>
        </w:tc>
        <w:tc>
          <w:tcPr>
            <w:tcW w:w="1092" w:type="dxa"/>
          </w:tcPr>
          <w:p w14:paraId="32CE7090">
            <w:pPr>
              <w:rPr>
                <w:vertAlign w:val="baseline"/>
              </w:rPr>
            </w:pPr>
          </w:p>
        </w:tc>
        <w:tc>
          <w:tcPr>
            <w:tcW w:w="1092" w:type="dxa"/>
          </w:tcPr>
          <w:p w14:paraId="2CFBEA9B">
            <w:pPr>
              <w:rPr>
                <w:vertAlign w:val="baseline"/>
              </w:rPr>
            </w:pPr>
          </w:p>
        </w:tc>
        <w:tc>
          <w:tcPr>
            <w:tcW w:w="1094" w:type="dxa"/>
          </w:tcPr>
          <w:p w14:paraId="162EDE4C">
            <w:pPr>
              <w:rPr>
                <w:vertAlign w:val="baseline"/>
              </w:rPr>
            </w:pPr>
          </w:p>
        </w:tc>
        <w:tc>
          <w:tcPr>
            <w:tcW w:w="1094" w:type="dxa"/>
          </w:tcPr>
          <w:p w14:paraId="749E4D8F">
            <w:pPr>
              <w:rPr>
                <w:vertAlign w:val="baseline"/>
              </w:rPr>
            </w:pPr>
          </w:p>
        </w:tc>
        <w:tc>
          <w:tcPr>
            <w:tcW w:w="1094" w:type="dxa"/>
          </w:tcPr>
          <w:p w14:paraId="3A4F51DF">
            <w:pPr>
              <w:rPr>
                <w:vertAlign w:val="baseline"/>
              </w:rPr>
            </w:pPr>
          </w:p>
        </w:tc>
        <w:tc>
          <w:tcPr>
            <w:tcW w:w="959" w:type="dxa"/>
          </w:tcPr>
          <w:p w14:paraId="52E42F0F">
            <w:pPr>
              <w:rPr>
                <w:vertAlign w:val="baseline"/>
              </w:rPr>
            </w:pPr>
          </w:p>
        </w:tc>
        <w:tc>
          <w:tcPr>
            <w:tcW w:w="1229" w:type="dxa"/>
          </w:tcPr>
          <w:p w14:paraId="0D24535A">
            <w:pPr>
              <w:rPr>
                <w:vertAlign w:val="baseline"/>
              </w:rPr>
            </w:pPr>
          </w:p>
        </w:tc>
        <w:tc>
          <w:tcPr>
            <w:tcW w:w="1094" w:type="dxa"/>
          </w:tcPr>
          <w:p w14:paraId="01F38724">
            <w:pPr>
              <w:rPr>
                <w:vertAlign w:val="baseline"/>
              </w:rPr>
            </w:pPr>
          </w:p>
        </w:tc>
        <w:tc>
          <w:tcPr>
            <w:tcW w:w="1105" w:type="dxa"/>
          </w:tcPr>
          <w:p w14:paraId="12B8775C">
            <w:pPr>
              <w:rPr>
                <w:vertAlign w:val="baseline"/>
              </w:rPr>
            </w:pPr>
          </w:p>
        </w:tc>
      </w:tr>
      <w:tr w14:paraId="69C02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0" w:hRule="atLeast"/>
        </w:trPr>
        <w:tc>
          <w:tcPr>
            <w:tcW w:w="750" w:type="dxa"/>
          </w:tcPr>
          <w:p w14:paraId="46226899">
            <w:pPr>
              <w:rPr>
                <w:vertAlign w:val="baseline"/>
              </w:rPr>
            </w:pPr>
          </w:p>
        </w:tc>
        <w:tc>
          <w:tcPr>
            <w:tcW w:w="1500" w:type="dxa"/>
          </w:tcPr>
          <w:p w14:paraId="3585C60A">
            <w:pPr>
              <w:rPr>
                <w:vertAlign w:val="baseline"/>
              </w:rPr>
            </w:pPr>
          </w:p>
        </w:tc>
        <w:tc>
          <w:tcPr>
            <w:tcW w:w="1168" w:type="dxa"/>
          </w:tcPr>
          <w:p w14:paraId="614648BB">
            <w:pPr>
              <w:rPr>
                <w:vertAlign w:val="baseline"/>
              </w:rPr>
            </w:pPr>
          </w:p>
        </w:tc>
        <w:tc>
          <w:tcPr>
            <w:tcW w:w="1092" w:type="dxa"/>
          </w:tcPr>
          <w:p w14:paraId="053F5C59">
            <w:pPr>
              <w:rPr>
                <w:vertAlign w:val="baseline"/>
              </w:rPr>
            </w:pPr>
          </w:p>
        </w:tc>
        <w:tc>
          <w:tcPr>
            <w:tcW w:w="1092" w:type="dxa"/>
          </w:tcPr>
          <w:p w14:paraId="4D7A362A">
            <w:pPr>
              <w:rPr>
                <w:vertAlign w:val="baseline"/>
              </w:rPr>
            </w:pPr>
          </w:p>
        </w:tc>
        <w:tc>
          <w:tcPr>
            <w:tcW w:w="1092" w:type="dxa"/>
          </w:tcPr>
          <w:p w14:paraId="618BFEDB">
            <w:pPr>
              <w:rPr>
                <w:vertAlign w:val="baseline"/>
              </w:rPr>
            </w:pPr>
          </w:p>
        </w:tc>
        <w:tc>
          <w:tcPr>
            <w:tcW w:w="1094" w:type="dxa"/>
          </w:tcPr>
          <w:p w14:paraId="6C47E346">
            <w:pPr>
              <w:rPr>
                <w:vertAlign w:val="baseline"/>
              </w:rPr>
            </w:pPr>
          </w:p>
        </w:tc>
        <w:tc>
          <w:tcPr>
            <w:tcW w:w="1094" w:type="dxa"/>
          </w:tcPr>
          <w:p w14:paraId="701AEBE7">
            <w:pPr>
              <w:rPr>
                <w:vertAlign w:val="baseline"/>
              </w:rPr>
            </w:pPr>
          </w:p>
        </w:tc>
        <w:tc>
          <w:tcPr>
            <w:tcW w:w="1094" w:type="dxa"/>
          </w:tcPr>
          <w:p w14:paraId="4F1328E1">
            <w:pPr>
              <w:rPr>
                <w:vertAlign w:val="baseline"/>
              </w:rPr>
            </w:pPr>
          </w:p>
        </w:tc>
        <w:tc>
          <w:tcPr>
            <w:tcW w:w="959" w:type="dxa"/>
          </w:tcPr>
          <w:p w14:paraId="60A2C26C">
            <w:pPr>
              <w:rPr>
                <w:vertAlign w:val="baseline"/>
              </w:rPr>
            </w:pPr>
          </w:p>
        </w:tc>
        <w:tc>
          <w:tcPr>
            <w:tcW w:w="1229" w:type="dxa"/>
          </w:tcPr>
          <w:p w14:paraId="4A7B9F35">
            <w:pPr>
              <w:rPr>
                <w:vertAlign w:val="baseline"/>
              </w:rPr>
            </w:pPr>
          </w:p>
        </w:tc>
        <w:tc>
          <w:tcPr>
            <w:tcW w:w="1094" w:type="dxa"/>
          </w:tcPr>
          <w:p w14:paraId="1891D7CE">
            <w:pPr>
              <w:rPr>
                <w:vertAlign w:val="baseline"/>
              </w:rPr>
            </w:pPr>
          </w:p>
        </w:tc>
        <w:tc>
          <w:tcPr>
            <w:tcW w:w="1105" w:type="dxa"/>
          </w:tcPr>
          <w:p w14:paraId="00C89F4C">
            <w:pPr>
              <w:rPr>
                <w:vertAlign w:val="baseline"/>
              </w:rPr>
            </w:pPr>
          </w:p>
        </w:tc>
      </w:tr>
      <w:tr w14:paraId="3780A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0" w:hRule="atLeast"/>
        </w:trPr>
        <w:tc>
          <w:tcPr>
            <w:tcW w:w="750" w:type="dxa"/>
          </w:tcPr>
          <w:p w14:paraId="6FE536AD">
            <w:pPr>
              <w:rPr>
                <w:vertAlign w:val="baseline"/>
              </w:rPr>
            </w:pPr>
          </w:p>
        </w:tc>
        <w:tc>
          <w:tcPr>
            <w:tcW w:w="1500" w:type="dxa"/>
          </w:tcPr>
          <w:p w14:paraId="416C5A79">
            <w:pPr>
              <w:rPr>
                <w:vertAlign w:val="baseline"/>
              </w:rPr>
            </w:pPr>
          </w:p>
        </w:tc>
        <w:tc>
          <w:tcPr>
            <w:tcW w:w="1168" w:type="dxa"/>
          </w:tcPr>
          <w:p w14:paraId="4B5C5C9A">
            <w:pPr>
              <w:rPr>
                <w:vertAlign w:val="baseline"/>
              </w:rPr>
            </w:pPr>
          </w:p>
        </w:tc>
        <w:tc>
          <w:tcPr>
            <w:tcW w:w="1092" w:type="dxa"/>
          </w:tcPr>
          <w:p w14:paraId="4A69874C">
            <w:pPr>
              <w:rPr>
                <w:vertAlign w:val="baseline"/>
              </w:rPr>
            </w:pPr>
          </w:p>
        </w:tc>
        <w:tc>
          <w:tcPr>
            <w:tcW w:w="1092" w:type="dxa"/>
          </w:tcPr>
          <w:p w14:paraId="718D6A33">
            <w:pPr>
              <w:rPr>
                <w:vertAlign w:val="baseline"/>
              </w:rPr>
            </w:pPr>
          </w:p>
        </w:tc>
        <w:tc>
          <w:tcPr>
            <w:tcW w:w="1092" w:type="dxa"/>
          </w:tcPr>
          <w:p w14:paraId="10A981F5">
            <w:pPr>
              <w:rPr>
                <w:vertAlign w:val="baseline"/>
              </w:rPr>
            </w:pPr>
          </w:p>
        </w:tc>
        <w:tc>
          <w:tcPr>
            <w:tcW w:w="1094" w:type="dxa"/>
          </w:tcPr>
          <w:p w14:paraId="2D237342">
            <w:pPr>
              <w:rPr>
                <w:vertAlign w:val="baseline"/>
              </w:rPr>
            </w:pPr>
          </w:p>
        </w:tc>
        <w:tc>
          <w:tcPr>
            <w:tcW w:w="1094" w:type="dxa"/>
          </w:tcPr>
          <w:p w14:paraId="71882C1F">
            <w:pPr>
              <w:rPr>
                <w:vertAlign w:val="baseline"/>
              </w:rPr>
            </w:pPr>
          </w:p>
        </w:tc>
        <w:tc>
          <w:tcPr>
            <w:tcW w:w="1094" w:type="dxa"/>
          </w:tcPr>
          <w:p w14:paraId="1CDFB3C8">
            <w:pPr>
              <w:rPr>
                <w:vertAlign w:val="baseline"/>
              </w:rPr>
            </w:pPr>
          </w:p>
        </w:tc>
        <w:tc>
          <w:tcPr>
            <w:tcW w:w="959" w:type="dxa"/>
          </w:tcPr>
          <w:p w14:paraId="5D16F62B">
            <w:pPr>
              <w:rPr>
                <w:vertAlign w:val="baseline"/>
              </w:rPr>
            </w:pPr>
          </w:p>
        </w:tc>
        <w:tc>
          <w:tcPr>
            <w:tcW w:w="1229" w:type="dxa"/>
          </w:tcPr>
          <w:p w14:paraId="5ED0C1BE">
            <w:pPr>
              <w:rPr>
                <w:vertAlign w:val="baseline"/>
              </w:rPr>
            </w:pPr>
          </w:p>
        </w:tc>
        <w:tc>
          <w:tcPr>
            <w:tcW w:w="1094" w:type="dxa"/>
          </w:tcPr>
          <w:p w14:paraId="08756C22">
            <w:pPr>
              <w:rPr>
                <w:vertAlign w:val="baseline"/>
              </w:rPr>
            </w:pPr>
          </w:p>
        </w:tc>
        <w:tc>
          <w:tcPr>
            <w:tcW w:w="1105" w:type="dxa"/>
          </w:tcPr>
          <w:p w14:paraId="5D5275FD">
            <w:pPr>
              <w:rPr>
                <w:vertAlign w:val="baseline"/>
              </w:rPr>
            </w:pPr>
          </w:p>
        </w:tc>
      </w:tr>
      <w:tr w14:paraId="187BD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0" w:hRule="atLeast"/>
        </w:trPr>
        <w:tc>
          <w:tcPr>
            <w:tcW w:w="750" w:type="dxa"/>
          </w:tcPr>
          <w:p w14:paraId="269CEF2F">
            <w:pPr>
              <w:rPr>
                <w:vertAlign w:val="baseline"/>
              </w:rPr>
            </w:pPr>
          </w:p>
        </w:tc>
        <w:tc>
          <w:tcPr>
            <w:tcW w:w="1500" w:type="dxa"/>
          </w:tcPr>
          <w:p w14:paraId="21DFC384">
            <w:pPr>
              <w:rPr>
                <w:vertAlign w:val="baseline"/>
              </w:rPr>
            </w:pPr>
          </w:p>
        </w:tc>
        <w:tc>
          <w:tcPr>
            <w:tcW w:w="1168" w:type="dxa"/>
          </w:tcPr>
          <w:p w14:paraId="1F06D868">
            <w:pPr>
              <w:rPr>
                <w:vertAlign w:val="baseline"/>
              </w:rPr>
            </w:pPr>
          </w:p>
        </w:tc>
        <w:tc>
          <w:tcPr>
            <w:tcW w:w="1092" w:type="dxa"/>
          </w:tcPr>
          <w:p w14:paraId="5170687B">
            <w:pPr>
              <w:rPr>
                <w:vertAlign w:val="baseline"/>
              </w:rPr>
            </w:pPr>
          </w:p>
        </w:tc>
        <w:tc>
          <w:tcPr>
            <w:tcW w:w="1092" w:type="dxa"/>
          </w:tcPr>
          <w:p w14:paraId="32F8C28A">
            <w:pPr>
              <w:rPr>
                <w:vertAlign w:val="baseline"/>
              </w:rPr>
            </w:pPr>
          </w:p>
        </w:tc>
        <w:tc>
          <w:tcPr>
            <w:tcW w:w="1092" w:type="dxa"/>
          </w:tcPr>
          <w:p w14:paraId="5996C1CB">
            <w:pPr>
              <w:rPr>
                <w:vertAlign w:val="baseline"/>
              </w:rPr>
            </w:pPr>
          </w:p>
        </w:tc>
        <w:tc>
          <w:tcPr>
            <w:tcW w:w="1094" w:type="dxa"/>
          </w:tcPr>
          <w:p w14:paraId="1327C37A">
            <w:pPr>
              <w:rPr>
                <w:vertAlign w:val="baseline"/>
              </w:rPr>
            </w:pPr>
          </w:p>
        </w:tc>
        <w:tc>
          <w:tcPr>
            <w:tcW w:w="1094" w:type="dxa"/>
          </w:tcPr>
          <w:p w14:paraId="6AFF2428">
            <w:pPr>
              <w:rPr>
                <w:vertAlign w:val="baseline"/>
              </w:rPr>
            </w:pPr>
          </w:p>
        </w:tc>
        <w:tc>
          <w:tcPr>
            <w:tcW w:w="1094" w:type="dxa"/>
          </w:tcPr>
          <w:p w14:paraId="55FC546D">
            <w:pPr>
              <w:rPr>
                <w:vertAlign w:val="baseline"/>
              </w:rPr>
            </w:pPr>
          </w:p>
        </w:tc>
        <w:tc>
          <w:tcPr>
            <w:tcW w:w="959" w:type="dxa"/>
          </w:tcPr>
          <w:p w14:paraId="5E1E0BEF">
            <w:pPr>
              <w:rPr>
                <w:vertAlign w:val="baseline"/>
              </w:rPr>
            </w:pPr>
          </w:p>
        </w:tc>
        <w:tc>
          <w:tcPr>
            <w:tcW w:w="1229" w:type="dxa"/>
          </w:tcPr>
          <w:p w14:paraId="14CABFCC">
            <w:pPr>
              <w:rPr>
                <w:vertAlign w:val="baseline"/>
              </w:rPr>
            </w:pPr>
          </w:p>
        </w:tc>
        <w:tc>
          <w:tcPr>
            <w:tcW w:w="1094" w:type="dxa"/>
          </w:tcPr>
          <w:p w14:paraId="7F98B3DD">
            <w:pPr>
              <w:rPr>
                <w:vertAlign w:val="baseline"/>
              </w:rPr>
            </w:pPr>
          </w:p>
        </w:tc>
        <w:tc>
          <w:tcPr>
            <w:tcW w:w="1105" w:type="dxa"/>
          </w:tcPr>
          <w:p w14:paraId="2820A2AC">
            <w:pPr>
              <w:rPr>
                <w:vertAlign w:val="baseline"/>
              </w:rPr>
            </w:pPr>
          </w:p>
        </w:tc>
      </w:tr>
      <w:tr w14:paraId="767DD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0" w:hRule="atLeast"/>
        </w:trPr>
        <w:tc>
          <w:tcPr>
            <w:tcW w:w="750" w:type="dxa"/>
          </w:tcPr>
          <w:p w14:paraId="45097F98">
            <w:pPr>
              <w:rPr>
                <w:vertAlign w:val="baseline"/>
              </w:rPr>
            </w:pPr>
          </w:p>
        </w:tc>
        <w:tc>
          <w:tcPr>
            <w:tcW w:w="1500" w:type="dxa"/>
          </w:tcPr>
          <w:p w14:paraId="661A0C65">
            <w:pPr>
              <w:rPr>
                <w:vertAlign w:val="baseline"/>
              </w:rPr>
            </w:pPr>
          </w:p>
        </w:tc>
        <w:tc>
          <w:tcPr>
            <w:tcW w:w="1168" w:type="dxa"/>
          </w:tcPr>
          <w:p w14:paraId="10CB39B7">
            <w:pPr>
              <w:rPr>
                <w:vertAlign w:val="baseline"/>
              </w:rPr>
            </w:pPr>
          </w:p>
        </w:tc>
        <w:tc>
          <w:tcPr>
            <w:tcW w:w="1092" w:type="dxa"/>
          </w:tcPr>
          <w:p w14:paraId="2FA5AF92">
            <w:pPr>
              <w:rPr>
                <w:vertAlign w:val="baseline"/>
              </w:rPr>
            </w:pPr>
          </w:p>
        </w:tc>
        <w:tc>
          <w:tcPr>
            <w:tcW w:w="1092" w:type="dxa"/>
          </w:tcPr>
          <w:p w14:paraId="51A9C16A">
            <w:pPr>
              <w:rPr>
                <w:vertAlign w:val="baseline"/>
              </w:rPr>
            </w:pPr>
          </w:p>
        </w:tc>
        <w:tc>
          <w:tcPr>
            <w:tcW w:w="1092" w:type="dxa"/>
          </w:tcPr>
          <w:p w14:paraId="5718A0B4">
            <w:pPr>
              <w:rPr>
                <w:vertAlign w:val="baseline"/>
              </w:rPr>
            </w:pPr>
          </w:p>
        </w:tc>
        <w:tc>
          <w:tcPr>
            <w:tcW w:w="1094" w:type="dxa"/>
          </w:tcPr>
          <w:p w14:paraId="58DDE518">
            <w:pPr>
              <w:rPr>
                <w:vertAlign w:val="baseline"/>
              </w:rPr>
            </w:pPr>
          </w:p>
        </w:tc>
        <w:tc>
          <w:tcPr>
            <w:tcW w:w="1094" w:type="dxa"/>
          </w:tcPr>
          <w:p w14:paraId="6D47F01A">
            <w:pPr>
              <w:rPr>
                <w:vertAlign w:val="baseline"/>
              </w:rPr>
            </w:pPr>
          </w:p>
        </w:tc>
        <w:tc>
          <w:tcPr>
            <w:tcW w:w="1094" w:type="dxa"/>
          </w:tcPr>
          <w:p w14:paraId="2AA898F4">
            <w:pPr>
              <w:rPr>
                <w:vertAlign w:val="baseline"/>
              </w:rPr>
            </w:pPr>
          </w:p>
        </w:tc>
        <w:tc>
          <w:tcPr>
            <w:tcW w:w="959" w:type="dxa"/>
          </w:tcPr>
          <w:p w14:paraId="788D0C55">
            <w:pPr>
              <w:rPr>
                <w:vertAlign w:val="baseline"/>
              </w:rPr>
            </w:pPr>
          </w:p>
        </w:tc>
        <w:tc>
          <w:tcPr>
            <w:tcW w:w="1229" w:type="dxa"/>
          </w:tcPr>
          <w:p w14:paraId="3C672DC2">
            <w:pPr>
              <w:rPr>
                <w:vertAlign w:val="baseline"/>
              </w:rPr>
            </w:pPr>
          </w:p>
        </w:tc>
        <w:tc>
          <w:tcPr>
            <w:tcW w:w="1094" w:type="dxa"/>
          </w:tcPr>
          <w:p w14:paraId="4668DDD9">
            <w:pPr>
              <w:rPr>
                <w:vertAlign w:val="baseline"/>
              </w:rPr>
            </w:pPr>
          </w:p>
        </w:tc>
        <w:tc>
          <w:tcPr>
            <w:tcW w:w="1105" w:type="dxa"/>
          </w:tcPr>
          <w:p w14:paraId="323CFFD7">
            <w:pPr>
              <w:rPr>
                <w:vertAlign w:val="baseline"/>
              </w:rPr>
            </w:pPr>
          </w:p>
        </w:tc>
      </w:tr>
      <w:tr w14:paraId="4BDCD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0" w:hRule="atLeast"/>
        </w:trPr>
        <w:tc>
          <w:tcPr>
            <w:tcW w:w="750" w:type="dxa"/>
          </w:tcPr>
          <w:p w14:paraId="0261E699">
            <w:pPr>
              <w:rPr>
                <w:vertAlign w:val="baseline"/>
              </w:rPr>
            </w:pPr>
          </w:p>
        </w:tc>
        <w:tc>
          <w:tcPr>
            <w:tcW w:w="1500" w:type="dxa"/>
          </w:tcPr>
          <w:p w14:paraId="049935F5">
            <w:pPr>
              <w:rPr>
                <w:vertAlign w:val="baseline"/>
              </w:rPr>
            </w:pPr>
          </w:p>
        </w:tc>
        <w:tc>
          <w:tcPr>
            <w:tcW w:w="1168" w:type="dxa"/>
          </w:tcPr>
          <w:p w14:paraId="4D139663">
            <w:pPr>
              <w:rPr>
                <w:vertAlign w:val="baseline"/>
              </w:rPr>
            </w:pPr>
          </w:p>
        </w:tc>
        <w:tc>
          <w:tcPr>
            <w:tcW w:w="1092" w:type="dxa"/>
          </w:tcPr>
          <w:p w14:paraId="24418640">
            <w:pPr>
              <w:rPr>
                <w:vertAlign w:val="baseline"/>
              </w:rPr>
            </w:pPr>
          </w:p>
        </w:tc>
        <w:tc>
          <w:tcPr>
            <w:tcW w:w="1092" w:type="dxa"/>
          </w:tcPr>
          <w:p w14:paraId="74F48581">
            <w:pPr>
              <w:rPr>
                <w:vertAlign w:val="baseline"/>
              </w:rPr>
            </w:pPr>
          </w:p>
        </w:tc>
        <w:tc>
          <w:tcPr>
            <w:tcW w:w="1092" w:type="dxa"/>
          </w:tcPr>
          <w:p w14:paraId="5BAFF5D3">
            <w:pPr>
              <w:rPr>
                <w:vertAlign w:val="baseline"/>
              </w:rPr>
            </w:pPr>
          </w:p>
        </w:tc>
        <w:tc>
          <w:tcPr>
            <w:tcW w:w="1094" w:type="dxa"/>
          </w:tcPr>
          <w:p w14:paraId="10586752">
            <w:pPr>
              <w:rPr>
                <w:vertAlign w:val="baseline"/>
              </w:rPr>
            </w:pPr>
          </w:p>
        </w:tc>
        <w:tc>
          <w:tcPr>
            <w:tcW w:w="1094" w:type="dxa"/>
          </w:tcPr>
          <w:p w14:paraId="726922D2">
            <w:pPr>
              <w:rPr>
                <w:vertAlign w:val="baseline"/>
              </w:rPr>
            </w:pPr>
          </w:p>
        </w:tc>
        <w:tc>
          <w:tcPr>
            <w:tcW w:w="1094" w:type="dxa"/>
          </w:tcPr>
          <w:p w14:paraId="3F69C431">
            <w:pPr>
              <w:rPr>
                <w:vertAlign w:val="baseline"/>
              </w:rPr>
            </w:pPr>
          </w:p>
        </w:tc>
        <w:tc>
          <w:tcPr>
            <w:tcW w:w="959" w:type="dxa"/>
          </w:tcPr>
          <w:p w14:paraId="111151E2">
            <w:pPr>
              <w:rPr>
                <w:vertAlign w:val="baseline"/>
              </w:rPr>
            </w:pPr>
          </w:p>
        </w:tc>
        <w:tc>
          <w:tcPr>
            <w:tcW w:w="1229" w:type="dxa"/>
          </w:tcPr>
          <w:p w14:paraId="3E50549F">
            <w:pPr>
              <w:rPr>
                <w:vertAlign w:val="baseline"/>
              </w:rPr>
            </w:pPr>
          </w:p>
        </w:tc>
        <w:tc>
          <w:tcPr>
            <w:tcW w:w="1094" w:type="dxa"/>
          </w:tcPr>
          <w:p w14:paraId="52ED9285">
            <w:pPr>
              <w:rPr>
                <w:vertAlign w:val="baseline"/>
              </w:rPr>
            </w:pPr>
          </w:p>
        </w:tc>
        <w:tc>
          <w:tcPr>
            <w:tcW w:w="1105" w:type="dxa"/>
          </w:tcPr>
          <w:p w14:paraId="05FD1AE8">
            <w:pPr>
              <w:rPr>
                <w:vertAlign w:val="baseline"/>
              </w:rPr>
            </w:pPr>
          </w:p>
        </w:tc>
      </w:tr>
    </w:tbl>
    <w:p w14:paraId="31409D41"/>
    <w:sectPr>
      <w:pgSz w:w="16838" w:h="11906" w:orient="landscape"/>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339BD9A-AF57-4DFE-970D-E92A3E8CECE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B6BDB3E5-B544-429B-BE1A-6A151FD870FD}"/>
  </w:font>
  <w:font w:name="微软雅黑">
    <w:panose1 w:val="020B0503020204020204"/>
    <w:charset w:val="86"/>
    <w:family w:val="auto"/>
    <w:pitch w:val="default"/>
    <w:sig w:usb0="80000287" w:usb1="280F3C52" w:usb2="00000016" w:usb3="00000000" w:csb0="0004001F" w:csb1="00000000"/>
    <w:embedRegular r:id="rId3" w:fontKey="{E72293C6-DFD9-4E48-8C47-ADEF584DDAC1}"/>
  </w:font>
  <w:font w:name="方正公文小标宋">
    <w:panose1 w:val="02000500000000000000"/>
    <w:charset w:val="86"/>
    <w:family w:val="auto"/>
    <w:pitch w:val="default"/>
    <w:sig w:usb0="A00002BF" w:usb1="38CF7CFA" w:usb2="00000016" w:usb3="00000000" w:csb0="00040001" w:csb1="00000000"/>
    <w:embedRegular r:id="rId4" w:fontKey="{46F297A9-69AE-4A6E-8B60-4393E21C8A94}"/>
  </w:font>
  <w:font w:name="仿宋">
    <w:panose1 w:val="02010609060101010101"/>
    <w:charset w:val="86"/>
    <w:family w:val="auto"/>
    <w:pitch w:val="default"/>
    <w:sig w:usb0="800002BF" w:usb1="38CF7CFA" w:usb2="00000016" w:usb3="00000000" w:csb0="00040001" w:csb1="00000000"/>
    <w:embedRegular r:id="rId5" w:fontKey="{1ADBC265-BE5D-4E42-9492-8F60E06C9999}"/>
  </w:font>
  <w:font w:name="Courier New">
    <w:panose1 w:val="02070309020205020404"/>
    <w:charset w:val="00"/>
    <w:family w:val="auto"/>
    <w:pitch w:val="default"/>
    <w:sig w:usb0="E0002AFF" w:usb1="C0007843" w:usb2="00000009" w:usb3="00000000" w:csb0="400001FF" w:csb1="FFFF0000"/>
  </w:font>
  <w:font w:name="DaunPenh">
    <w:panose1 w:val="01010101010101010101"/>
    <w:charset w:val="00"/>
    <w:family w:val="auto"/>
    <w:pitch w:val="default"/>
    <w:sig w:usb0="00000003" w:usb1="00000000" w:usb2="00010000" w:usb3="00000000" w:csb0="00000001" w:csb1="00000000"/>
  </w:font>
  <w:font w:name="Estrangelo Edessa">
    <w:panose1 w:val="03080600000000000000"/>
    <w:charset w:val="00"/>
    <w:family w:val="auto"/>
    <w:pitch w:val="default"/>
    <w:sig w:usb0="80002043" w:usb1="00000000" w:usb2="00000080" w:usb3="00000000" w:csb0="00000001" w:csb1="00000000"/>
  </w:font>
  <w:font w:name="FrankRuehl">
    <w:panose1 w:val="020E0503060101010101"/>
    <w:charset w:val="00"/>
    <w:family w:val="auto"/>
    <w:pitch w:val="default"/>
    <w:sig w:usb0="00000801" w:usb1="00000000" w:usb2="00000000" w:usb3="00000000" w:csb0="00000020" w:csb1="00200000"/>
  </w:font>
  <w:font w:name="BrowalliaUPC">
    <w:panose1 w:val="020B0604020202020204"/>
    <w:charset w:val="00"/>
    <w:family w:val="auto"/>
    <w:pitch w:val="default"/>
    <w:sig w:usb0="81000003" w:usb1="00000000" w:usb2="00000000" w:usb3="00000000" w:csb0="00010001" w:csb1="00000000"/>
  </w:font>
  <w:font w:name="Meiryo">
    <w:panose1 w:val="020B0604030504040204"/>
    <w:charset w:val="80"/>
    <w:family w:val="auto"/>
    <w:pitch w:val="default"/>
    <w:sig w:usb0="E10102FF" w:usb1="EAC7FFFF" w:usb2="00010012" w:usb3="00000000" w:csb0="6002009F" w:csb1="DFD70000"/>
  </w:font>
  <w:font w:name="楷体_GB2312">
    <w:panose1 w:val="02010609030101010101"/>
    <w:charset w:val="86"/>
    <w:family w:val="auto"/>
    <w:pitch w:val="default"/>
    <w:sig w:usb0="00000001" w:usb1="080E0000" w:usb2="00000000" w:usb3="00000000" w:csb0="00040000" w:csb1="00000000"/>
  </w:font>
  <w:font w:name="Aparajita">
    <w:panose1 w:val="020B0604020202020204"/>
    <w:charset w:val="00"/>
    <w:family w:val="auto"/>
    <w:pitch w:val="default"/>
    <w:sig w:usb0="00008003" w:usb1="00000000" w:usb2="00000000" w:usb3="00000000" w:csb0="00000001" w:csb1="00000000"/>
  </w:font>
  <w:font w:name="PMingLiU">
    <w:panose1 w:val="02020500000000000000"/>
    <w:charset w:val="88"/>
    <w:family w:val="auto"/>
    <w:pitch w:val="default"/>
    <w:sig w:usb0="A00002FF" w:usb1="28CFFCFA" w:usb2="00000016" w:usb3="00000000" w:csb0="00100001" w:csb1="00000000"/>
  </w:font>
  <w:font w:name="MingLiU_HKSCS">
    <w:panose1 w:val="02020500000000000000"/>
    <w:charset w:val="88"/>
    <w:family w:val="auto"/>
    <w:pitch w:val="default"/>
    <w:sig w:usb0="A00002FF" w:usb1="38CFFCFA" w:usb2="00000016" w:usb3="00000000" w:csb0="00100001" w:csb1="00000000"/>
  </w:font>
  <w:font w:name="Gungsuh">
    <w:panose1 w:val="02030600000101010101"/>
    <w:charset w:val="81"/>
    <w:family w:val="auto"/>
    <w:pitch w:val="default"/>
    <w:sig w:usb0="B00002AF" w:usb1="69D77CFB" w:usb2="00000030" w:usb3="00000000" w:csb0="4008009F" w:csb1="DFD7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9C7492"/>
    <w:multiLevelType w:val="singleLevel"/>
    <w:tmpl w:val="929C7492"/>
    <w:lvl w:ilvl="0" w:tentative="0">
      <w:start w:val="2"/>
      <w:numFmt w:val="chineseCounting"/>
      <w:suff w:val="nothing"/>
      <w:lvlText w:val="（%1）"/>
      <w:lvlJc w:val="left"/>
      <w:rPr>
        <w:rFonts w:hint="eastAsia"/>
      </w:rPr>
    </w:lvl>
  </w:abstractNum>
  <w:abstractNum w:abstractNumId="1">
    <w:nsid w:val="403EA1FB"/>
    <w:multiLevelType w:val="singleLevel"/>
    <w:tmpl w:val="403EA1FB"/>
    <w:lvl w:ilvl="0" w:tentative="0">
      <w:start w:val="1"/>
      <w:numFmt w:val="chineseCounting"/>
      <w:suff w:val="nothing"/>
      <w:lvlText w:val="%1、"/>
      <w:lvlJc w:val="left"/>
      <w:rPr>
        <w:rFonts w:hint="eastAsia" w:ascii="黑体" w:hAnsi="黑体" w:eastAsia="黑体" w:cs="黑体"/>
        <w:sz w:val="32"/>
        <w:szCs w:val="32"/>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4OTRlOThkY2JmZmQ1NWM2ZmYzODM1NDJmY2YwOTgifQ=="/>
  </w:docVars>
  <w:rsids>
    <w:rsidRoot w:val="12285CAF"/>
    <w:rsid w:val="111C254B"/>
    <w:rsid w:val="12285CAF"/>
    <w:rsid w:val="176B3A77"/>
    <w:rsid w:val="27620A8F"/>
    <w:rsid w:val="28136333"/>
    <w:rsid w:val="2F0117A2"/>
    <w:rsid w:val="48253225"/>
    <w:rsid w:val="490E547D"/>
    <w:rsid w:val="4A940469"/>
    <w:rsid w:val="4D4E4631"/>
    <w:rsid w:val="4DCA534C"/>
    <w:rsid w:val="54850B25"/>
    <w:rsid w:val="5947792C"/>
    <w:rsid w:val="5F920758"/>
    <w:rsid w:val="64AD62EF"/>
    <w:rsid w:val="7C771550"/>
    <w:rsid w:val="7EC86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31"/>
      <w:szCs w:val="31"/>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qFormat/>
    <w:uiPriority w:val="0"/>
    <w:rPr>
      <w:color w:val="0000FF"/>
      <w:u w:val="single"/>
    </w:rPr>
  </w:style>
  <w:style w:type="table" w:customStyle="1" w:styleId="9">
    <w:name w:val="Table Normal"/>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1306</Words>
  <Characters>1541</Characters>
  <Lines>0</Lines>
  <Paragraphs>0</Paragraphs>
  <TotalTime>3</TotalTime>
  <ScaleCrop>false</ScaleCrop>
  <LinksUpToDate>false</LinksUpToDate>
  <CharactersWithSpaces>1572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2024-10-28T08:43:00Z</dcterms:created>
  <dc:creator>Zzzz.</dc:creator>
  <cp:lastModifiedBy>Zzzz.</cp:lastModifiedBy>
  <dcterms:modified xsi:type="dcterms:W3CDTF">2024-11-04T10:04:02Z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1C8F258CB46C4CFCB4B83E229FEF69FC_13</vt:lpwstr>
  </property>
</Properties>
</file>