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4F710">
      <w:pPr>
        <w:jc w:val="center"/>
        <w:rPr>
          <w:rFonts w:hint="eastAsia" w:ascii="宋体" w:hAnsi="宋体" w:eastAsia="宋体" w:cs="宋体"/>
          <w:b/>
          <w:sz w:val="40"/>
          <w:szCs w:val="40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sz w:val="44"/>
          <w:szCs w:val="44"/>
          <w:lang w:val="en-US" w:eastAsia="zh-CN"/>
        </w:rPr>
        <w:t>贵州商学院教研室学期</w:t>
      </w:r>
      <w:r>
        <w:rPr>
          <w:rFonts w:hint="eastAsia" w:ascii="方正大标宋简体" w:hAnsi="方正大标宋简体" w:eastAsia="方正大标宋简体" w:cs="方正大标宋简体"/>
          <w:b/>
          <w:color w:val="0000FF"/>
          <w:sz w:val="44"/>
          <w:szCs w:val="44"/>
          <w:lang w:val="en-US" w:eastAsia="zh-CN"/>
        </w:rPr>
        <w:t>/年度</w:t>
      </w:r>
      <w:r>
        <w:rPr>
          <w:rFonts w:hint="eastAsia" w:ascii="方正大标宋简体" w:hAnsi="方正大标宋简体" w:eastAsia="方正大标宋简体" w:cs="方正大标宋简体"/>
          <w:b/>
          <w:sz w:val="44"/>
          <w:szCs w:val="44"/>
          <w:lang w:val="en-US" w:eastAsia="zh-CN"/>
        </w:rPr>
        <w:t>工作总结</w:t>
      </w:r>
    </w:p>
    <w:p w14:paraId="2EC7D304">
      <w:pPr>
        <w:spacing w:after="160"/>
        <w:jc w:val="center"/>
        <w:rPr>
          <w:rFonts w:hint="default" w:ascii="方正仿宋_GB18030" w:hAnsi="方正仿宋_GB18030" w:eastAsia="方正仿宋_GB18030" w:cs="方正仿宋_GB18030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sz w:val="24"/>
        </w:rPr>
        <w:t>【</w:t>
      </w:r>
      <w:r>
        <w:rPr>
          <w:rFonts w:hint="eastAsia" w:ascii="方正仿宋_GB18030" w:hAnsi="方正仿宋_GB18030" w:eastAsia="方正仿宋_GB18030" w:cs="方正仿宋_GB18030"/>
          <w:b/>
          <w:color w:val="0000FF"/>
          <w:sz w:val="28"/>
          <w:szCs w:val="28"/>
          <w:lang w:val="en-US" w:eastAsia="zh-CN"/>
        </w:rPr>
        <w:t>教研室负责人</w:t>
      </w:r>
      <w:r>
        <w:rPr>
          <w:rFonts w:hint="eastAsia" w:ascii="仿宋" w:hAnsi="仿宋" w:eastAsia="仿宋" w:cs="仿宋"/>
          <w:b w:val="0"/>
          <w:sz w:val="24"/>
        </w:rPr>
        <w:t>】</w:t>
      </w:r>
    </w:p>
    <w:p w14:paraId="40981697">
      <w:pPr>
        <w:spacing w:after="160"/>
        <w:jc w:val="center"/>
        <w:rPr>
          <w:rFonts w:hint="eastAsia" w:ascii="方正仿宋_GB18030" w:hAnsi="方正仿宋_GB18030" w:eastAsia="方正仿宋_GB18030" w:cs="方正仿宋_GB18030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sz w:val="24"/>
        </w:rPr>
        <w:t>【</w:t>
      </w:r>
      <w:r>
        <w:rPr>
          <w:rFonts w:hint="eastAsia" w:ascii="仿宋" w:hAnsi="仿宋" w:eastAsia="仿宋" w:cs="仿宋"/>
          <w:b w:val="0"/>
          <w:color w:val="0000FF"/>
          <w:sz w:val="24"/>
        </w:rPr>
        <w:t>×××</w:t>
      </w:r>
      <w:r>
        <w:rPr>
          <w:rFonts w:hint="eastAsia" w:ascii="仿宋" w:hAnsi="仿宋" w:eastAsia="仿宋" w:cs="仿宋"/>
          <w:b w:val="0"/>
          <w:sz w:val="24"/>
        </w:rPr>
        <w:t>】</w:t>
      </w:r>
      <w:r>
        <w:rPr>
          <w:rFonts w:hint="eastAsia" w:ascii="方正仿宋_GB18030" w:hAnsi="方正仿宋_GB18030" w:eastAsia="方正仿宋_GB18030" w:cs="方正仿宋_GB18030"/>
          <w:b/>
          <w:sz w:val="28"/>
          <w:szCs w:val="28"/>
          <w:lang w:val="en-US" w:eastAsia="zh-CN"/>
        </w:rPr>
        <w:t>学院(处、部)</w:t>
      </w:r>
      <w:r>
        <w:rPr>
          <w:rFonts w:hint="eastAsia" w:ascii="仿宋" w:hAnsi="仿宋" w:eastAsia="仿宋" w:cs="仿宋"/>
          <w:b w:val="0"/>
          <w:sz w:val="24"/>
        </w:rPr>
        <w:t>【</w:t>
      </w:r>
      <w:r>
        <w:rPr>
          <w:rFonts w:hint="eastAsia" w:ascii="仿宋" w:hAnsi="仿宋" w:eastAsia="仿宋" w:cs="仿宋"/>
          <w:b w:val="0"/>
          <w:color w:val="0000FF"/>
          <w:sz w:val="24"/>
        </w:rPr>
        <w:t>×××</w:t>
      </w:r>
      <w:r>
        <w:rPr>
          <w:rFonts w:hint="eastAsia" w:ascii="仿宋" w:hAnsi="仿宋" w:eastAsia="仿宋" w:cs="仿宋"/>
          <w:b w:val="0"/>
          <w:sz w:val="24"/>
        </w:rPr>
        <w:t>】</w:t>
      </w:r>
      <w:r>
        <w:rPr>
          <w:rFonts w:hint="eastAsia" w:ascii="方正仿宋_GB18030" w:hAnsi="方正仿宋_GB18030" w:eastAsia="方正仿宋_GB18030" w:cs="方正仿宋_GB18030"/>
          <w:b/>
          <w:sz w:val="28"/>
          <w:szCs w:val="28"/>
          <w:lang w:val="en-US" w:eastAsia="zh-CN"/>
        </w:rPr>
        <w:t>教研室</w:t>
      </w:r>
    </w:p>
    <w:p w14:paraId="79378A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/>
        <w:ind w:firstLine="440" w:firstLineChars="200"/>
        <w:jc w:val="left"/>
        <w:textAlignment w:val="auto"/>
        <w:rPr>
          <w:rFonts w:hint="eastAsia" w:ascii="Times New Roman" w:hAnsi="Times New Roman" w:eastAsia="宋体"/>
          <w:sz w:val="22"/>
          <w:highlight w:val="yellow"/>
          <w:lang w:eastAsia="zh-CN"/>
        </w:rPr>
      </w:pPr>
      <w:r>
        <w:rPr>
          <w:rFonts w:ascii="Times New Roman" w:hAnsi="Times New Roman" w:eastAsia="宋体"/>
          <w:sz w:val="22"/>
          <w:highlight w:val="yellow"/>
        </w:rPr>
        <w:t>填写说明：本文为通用模板，【　】内为待填内容，成稿前请删除【　】及【　】</w:t>
      </w:r>
      <w:r>
        <w:rPr>
          <w:rFonts w:hint="eastAsia"/>
          <w:sz w:val="22"/>
          <w:highlight w:val="yellow"/>
          <w:lang w:val="en-US" w:eastAsia="zh-CN"/>
        </w:rPr>
        <w:t>中</w:t>
      </w:r>
      <w:r>
        <w:rPr>
          <w:rFonts w:ascii="Times New Roman" w:hAnsi="Times New Roman" w:eastAsia="宋体"/>
          <w:sz w:val="22"/>
          <w:highlight w:val="yellow"/>
        </w:rPr>
        <w:t>提示文字</w:t>
      </w:r>
      <w:r>
        <w:rPr>
          <w:rFonts w:hint="eastAsia"/>
          <w:sz w:val="22"/>
          <w:highlight w:val="yellow"/>
          <w:lang w:eastAsia="zh-CN"/>
        </w:rPr>
        <w:t>。</w:t>
      </w:r>
    </w:p>
    <w:p w14:paraId="5DAF5E15">
      <w:pPr>
        <w:spacing w:after="160"/>
        <w:jc w:val="center"/>
        <w:rPr>
          <w:rFonts w:ascii="Times New Roman" w:hAnsi="Times New Roman" w:eastAsia="宋体"/>
          <w:sz w:val="22"/>
        </w:rPr>
      </w:pPr>
    </w:p>
    <w:p w14:paraId="63CA1927">
      <w:pPr>
        <w:spacing w:before="40" w:after="120" w:line="360" w:lineRule="auto"/>
        <w:ind w:firstLine="480"/>
        <w:jc w:val="both"/>
        <w:rPr>
          <w:rFonts w:hint="eastAsia" w:ascii="Times New Roman" w:hAnsi="Times New Roman" w:eastAsia="仿宋"/>
          <w:sz w:val="22"/>
          <w:lang w:eastAsia="zh-CN"/>
        </w:rPr>
      </w:pPr>
      <w:r>
        <w:rPr>
          <w:rFonts w:hint="eastAsia" w:ascii="仿宋" w:hAnsi="仿宋" w:eastAsia="仿宋" w:cs="仿宋"/>
          <w:b w:val="0"/>
          <w:color w:val="0000FF"/>
          <w:sz w:val="24"/>
        </w:rPr>
        <w:t>202</w:t>
      </w:r>
      <w:r>
        <w:rPr>
          <w:rFonts w:hint="eastAsia" w:ascii="仿宋" w:hAnsi="仿宋" w:eastAsia="仿宋" w:cs="仿宋"/>
          <w:b w:val="0"/>
          <w:color w:val="0000FF"/>
          <w:sz w:val="24"/>
          <w:lang w:val="en-US" w:eastAsia="zh-CN"/>
        </w:rPr>
        <w:t>6-2027学年第一学期/2026年度</w:t>
      </w:r>
      <w:r>
        <w:rPr>
          <w:rFonts w:hint="eastAsia" w:ascii="仿宋" w:hAnsi="仿宋" w:eastAsia="仿宋" w:cs="仿宋"/>
          <w:b w:val="0"/>
          <w:sz w:val="24"/>
        </w:rPr>
        <w:t>，在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学院</w:t>
      </w:r>
      <w:r>
        <w:rPr>
          <w:rFonts w:hint="eastAsia" w:ascii="仿宋" w:hAnsi="仿宋" w:eastAsia="仿宋" w:cs="仿宋"/>
          <w:b w:val="0"/>
          <w:sz w:val="24"/>
        </w:rPr>
        <w:t>党委、行政的坚强领导下，在全体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教研室</w:t>
      </w:r>
      <w:r>
        <w:rPr>
          <w:rFonts w:hint="eastAsia" w:ascii="仿宋" w:hAnsi="仿宋" w:eastAsia="仿宋" w:cs="仿宋"/>
          <w:b w:val="0"/>
          <w:sz w:val="24"/>
        </w:rPr>
        <w:t>教师的共同努力下，</w:t>
      </w:r>
      <w:r>
        <w:rPr>
          <w:rFonts w:hint="eastAsia" w:ascii="仿宋" w:hAnsi="仿宋" w:eastAsia="仿宋" w:cs="仿宋"/>
          <w:b w:val="0"/>
          <w:color w:val="0000FF"/>
          <w:sz w:val="24"/>
        </w:rPr>
        <w:t>××</w:t>
      </w:r>
      <w:r>
        <w:rPr>
          <w:rFonts w:hint="eastAsia" w:ascii="仿宋" w:hAnsi="仿宋" w:eastAsia="仿宋" w:cs="仿宋"/>
          <w:b w:val="0"/>
          <w:sz w:val="24"/>
        </w:rPr>
        <w:t>教研室坚持以习近平新时代中国特色社会主义思想为指导，深入学习贯彻党的二十大和二十届</w:t>
      </w:r>
      <w:r>
        <w:rPr>
          <w:rFonts w:hint="eastAsia" w:ascii="仿宋" w:hAnsi="仿宋" w:eastAsia="仿宋" w:cs="仿宋"/>
          <w:b w:val="0"/>
          <w:color w:val="0000FF"/>
          <w:sz w:val="24"/>
        </w:rPr>
        <w:t>【</w:t>
      </w:r>
      <w:r>
        <w:rPr>
          <w:rFonts w:hint="eastAsia" w:ascii="仿宋" w:hAnsi="仿宋" w:eastAsia="仿宋" w:cs="仿宋"/>
          <w:b w:val="0"/>
          <w:color w:val="0000FF"/>
          <w:sz w:val="24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color w:val="0000FF"/>
          <w:sz w:val="24"/>
        </w:rPr>
        <w:t>中】</w:t>
      </w:r>
      <w:r>
        <w:rPr>
          <w:rFonts w:hint="eastAsia" w:ascii="仿宋" w:hAnsi="仿宋" w:eastAsia="仿宋" w:cs="仿宋"/>
          <w:b w:val="0"/>
          <w:sz w:val="24"/>
        </w:rPr>
        <w:t>全会精神，全面落实立德树人根本任务，紧扣学校年度工作要点和学院（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处、</w:t>
      </w:r>
      <w:r>
        <w:rPr>
          <w:rFonts w:hint="eastAsia" w:ascii="仿宋" w:hAnsi="仿宋" w:eastAsia="仿宋" w:cs="仿宋"/>
          <w:b w:val="0"/>
          <w:sz w:val="24"/>
        </w:rPr>
        <w:t>部）重点工作安排，以</w:t>
      </w:r>
      <w:r>
        <w:rPr>
          <w:rFonts w:hint="eastAsia" w:ascii="仿宋" w:hAnsi="仿宋" w:eastAsia="仿宋" w:cs="仿宋"/>
          <w:b w:val="0"/>
          <w:color w:val="0000FF"/>
          <w:sz w:val="24"/>
        </w:rPr>
        <w:t>本科教育教学审核评估／</w:t>
      </w:r>
      <w:r>
        <w:rPr>
          <w:rFonts w:hint="eastAsia" w:ascii="仿宋" w:hAnsi="仿宋" w:eastAsia="仿宋" w:cs="仿宋"/>
          <w:b w:val="0"/>
          <w:color w:val="0000FF"/>
          <w:sz w:val="24"/>
          <w:lang w:eastAsia="zh-CN"/>
        </w:rPr>
        <w:t>“</w:t>
      </w:r>
      <w:r>
        <w:rPr>
          <w:rFonts w:hint="eastAsia" w:ascii="仿宋" w:hAnsi="仿宋" w:eastAsia="仿宋" w:cs="仿宋"/>
          <w:b w:val="0"/>
          <w:color w:val="0000FF"/>
          <w:sz w:val="24"/>
          <w:lang w:val="en-US" w:eastAsia="zh-CN"/>
        </w:rPr>
        <w:t>双优</w:t>
      </w:r>
      <w:r>
        <w:rPr>
          <w:rFonts w:hint="eastAsia" w:ascii="仿宋" w:hAnsi="仿宋" w:eastAsia="仿宋" w:cs="仿宋"/>
          <w:b w:val="0"/>
          <w:color w:val="0000FF"/>
          <w:sz w:val="24"/>
          <w:lang w:eastAsia="zh-CN"/>
        </w:rPr>
        <w:t>”</w:t>
      </w:r>
      <w:r>
        <w:rPr>
          <w:rFonts w:hint="eastAsia" w:ascii="仿宋" w:hAnsi="仿宋" w:eastAsia="仿宋" w:cs="仿宋"/>
          <w:b w:val="0"/>
          <w:color w:val="0000FF"/>
          <w:sz w:val="24"/>
          <w:lang w:val="en-US" w:eastAsia="zh-CN"/>
        </w:rPr>
        <w:t>建设/</w:t>
      </w:r>
      <w:r>
        <w:rPr>
          <w:rFonts w:hint="eastAsia" w:ascii="仿宋" w:hAnsi="仿宋" w:eastAsia="仿宋" w:cs="仿宋"/>
          <w:b w:val="0"/>
          <w:color w:val="0000FF"/>
          <w:sz w:val="24"/>
        </w:rPr>
        <w:t>一流</w:t>
      </w:r>
      <w:r>
        <w:rPr>
          <w:rFonts w:hint="eastAsia" w:ascii="仿宋" w:hAnsi="仿宋" w:eastAsia="仿宋" w:cs="仿宋"/>
          <w:b w:val="0"/>
          <w:color w:val="0000FF"/>
          <w:sz w:val="24"/>
          <w:lang w:val="en-US" w:eastAsia="zh-CN"/>
        </w:rPr>
        <w:t>学科</w:t>
      </w:r>
      <w:r>
        <w:rPr>
          <w:rFonts w:hint="eastAsia" w:ascii="仿宋" w:hAnsi="仿宋" w:eastAsia="仿宋" w:cs="仿宋"/>
          <w:b w:val="0"/>
          <w:color w:val="0000FF"/>
          <w:sz w:val="24"/>
        </w:rPr>
        <w:t>建设／</w:t>
      </w:r>
      <w:r>
        <w:rPr>
          <w:rFonts w:hint="default" w:ascii="仿宋" w:hAnsi="仿宋" w:eastAsia="仿宋" w:cs="仿宋"/>
          <w:b w:val="0"/>
          <w:color w:val="0000FF"/>
          <w:sz w:val="24"/>
          <w:lang w:val="en-US" w:eastAsia="zh-CN"/>
        </w:rPr>
        <w:t>硕士学位授权点</w:t>
      </w:r>
      <w:r>
        <w:rPr>
          <w:rFonts w:hint="eastAsia" w:ascii="仿宋" w:hAnsi="仿宋" w:eastAsia="仿宋" w:cs="仿宋"/>
          <w:b w:val="0"/>
          <w:color w:val="0000FF"/>
          <w:sz w:val="24"/>
        </w:rPr>
        <w:t>建设</w:t>
      </w:r>
      <w:r>
        <w:rPr>
          <w:rFonts w:hint="eastAsia" w:ascii="仿宋" w:hAnsi="仿宋" w:eastAsia="仿宋" w:cs="仿宋"/>
          <w:b w:val="0"/>
          <w:sz w:val="24"/>
        </w:rPr>
        <w:t>为牵引，扎实推进教学建设、科学研究、师资培养与学生发展各项工作，较好完成了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学期</w:t>
      </w:r>
      <w:r>
        <w:rPr>
          <w:rFonts w:hint="eastAsia" w:ascii="仿宋" w:hAnsi="仿宋" w:eastAsia="仿宋" w:cs="仿宋"/>
          <w:b w:val="0"/>
          <w:color w:val="0000FF"/>
          <w:sz w:val="24"/>
          <w:lang w:val="en-US" w:eastAsia="zh-CN"/>
        </w:rPr>
        <w:t>/</w:t>
      </w:r>
      <w:r>
        <w:rPr>
          <w:rFonts w:hint="eastAsia" w:ascii="仿宋" w:hAnsi="仿宋" w:eastAsia="仿宋" w:cs="仿宋"/>
          <w:b w:val="0"/>
          <w:color w:val="0000FF"/>
          <w:sz w:val="24"/>
        </w:rPr>
        <w:t>年度</w:t>
      </w:r>
      <w:r>
        <w:rPr>
          <w:rFonts w:hint="eastAsia" w:ascii="仿宋" w:hAnsi="仿宋" w:eastAsia="仿宋" w:cs="仿宋"/>
          <w:b w:val="0"/>
          <w:sz w:val="24"/>
        </w:rPr>
        <w:t>目标任务。现将本年度工作情况总结如下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。</w:t>
      </w:r>
      <w:bookmarkStart w:id="0" w:name="_GoBack"/>
      <w:bookmarkEnd w:id="0"/>
    </w:p>
    <w:p w14:paraId="6ABB3BAF">
      <w:pPr>
        <w:spacing w:before="200" w:after="100" w:line="360" w:lineRule="auto"/>
        <w:jc w:val="left"/>
        <w:rPr>
          <w:sz w:val="28"/>
          <w:szCs w:val="28"/>
        </w:rPr>
      </w:pPr>
      <w:r>
        <w:rPr>
          <w:rFonts w:ascii="Times New Roman" w:hAnsi="Times New Roman" w:eastAsia="黑体"/>
          <w:b/>
          <w:sz w:val="28"/>
          <w:szCs w:val="28"/>
        </w:rPr>
        <w:t>一、教研</w:t>
      </w:r>
      <w:r>
        <w:rPr>
          <w:rFonts w:hint="eastAsia" w:eastAsia="黑体"/>
          <w:b/>
          <w:sz w:val="28"/>
          <w:szCs w:val="28"/>
          <w:lang w:val="en-US" w:eastAsia="zh-CN"/>
        </w:rPr>
        <w:t>室基本</w:t>
      </w:r>
      <w:r>
        <w:rPr>
          <w:rFonts w:ascii="Times New Roman" w:hAnsi="Times New Roman" w:eastAsia="黑体"/>
          <w:b/>
          <w:sz w:val="28"/>
          <w:szCs w:val="28"/>
        </w:rPr>
        <w:t>情况</w:t>
      </w:r>
    </w:p>
    <w:p w14:paraId="48B017C2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【×××】教研室现有专任教师【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】人，其中教授【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】人、副教授【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】人、讲师【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】人；具有博士学位【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】人、硕士学位【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】人；【省级／校级】教学名师【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】人、“双师双能型”教师【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】人。本年度承担【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】个专业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/班级</w:t>
      </w:r>
      <w:r>
        <w:rPr>
          <w:rFonts w:hint="eastAsia" w:ascii="仿宋" w:hAnsi="仿宋" w:eastAsia="仿宋" w:cs="仿宋"/>
          <w:b w:val="0"/>
          <w:sz w:val="24"/>
        </w:rPr>
        <w:t>、【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】门课程的教学任务，累计开课【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】门次，完成教学工作量【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】学时，授课学生【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】人次；指导本科毕业论文（设计）【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】篇，指导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认知</w:t>
      </w:r>
      <w:r>
        <w:rPr>
          <w:rFonts w:hint="eastAsia" w:ascii="仿宋" w:hAnsi="仿宋" w:eastAsia="仿宋" w:cs="仿宋"/>
          <w:b w:val="0"/>
          <w:sz w:val="24"/>
        </w:rPr>
        <w:t>实习／专业实习／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毕业</w:t>
      </w:r>
      <w:r>
        <w:rPr>
          <w:rFonts w:hint="eastAsia" w:ascii="仿宋" w:hAnsi="仿宋" w:eastAsia="仿宋" w:cs="仿宋"/>
          <w:b w:val="0"/>
          <w:sz w:val="24"/>
        </w:rPr>
        <w:t>实习【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】人；承担【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】个班级的学业导师或班主任工作。本年度新增【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】名教师，退休／调出【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】名教师。</w:t>
      </w:r>
    </w:p>
    <w:p w14:paraId="257F13D8">
      <w:pPr>
        <w:spacing w:before="40" w:after="120" w:line="360" w:lineRule="auto"/>
        <w:jc w:val="both"/>
        <w:rPr>
          <w:rFonts w:ascii="Times New Roman" w:hAnsi="Times New Roman" w:eastAsia="黑体"/>
          <w:b/>
          <w:sz w:val="28"/>
        </w:rPr>
      </w:pPr>
      <w:r>
        <w:rPr>
          <w:rFonts w:ascii="Times New Roman" w:hAnsi="Times New Roman" w:eastAsia="黑体"/>
          <w:b/>
          <w:sz w:val="28"/>
        </w:rPr>
        <w:t>二、主要工作及成效</w:t>
      </w:r>
    </w:p>
    <w:p w14:paraId="190CE984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（一）聚焦教学中心，人才培养质量稳步提升</w:t>
      </w:r>
    </w:p>
    <w:p w14:paraId="3C4EE778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1. 教学运行规范有序。严格执行人才培养方案与教学日历，全年调（停）课率控制在【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】%以内；落实集体备课制度，开展集体备课【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】次、公开课与示范课【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】场次；完成【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】门课程的命题、阅卷与试卷归档工作，试卷评阅零差错；完善课程大纲、教案、课件等教学文件【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】份，实现“一门课、一套标准、一份档案”。</w:t>
      </w:r>
    </w:p>
    <w:p w14:paraId="7903B792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2. 课程与教材建设取得进展。立项／结项【国家级／省级】一流本科课程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/精品课程</w:t>
      </w:r>
      <w:r>
        <w:rPr>
          <w:rFonts w:hint="eastAsia" w:ascii="仿宋" w:hAnsi="仿宋" w:eastAsia="仿宋" w:cs="仿宋"/>
          <w:b w:val="0"/>
          <w:sz w:val="24"/>
        </w:rPr>
        <w:t>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】门，建成在线开放课程【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】门并在【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国家高等教育智慧教育平台/学堂在线/爱课程/</w:t>
      </w:r>
      <w:r>
        <w:rPr>
          <w:rFonts w:hint="eastAsia" w:ascii="仿宋" w:hAnsi="仿宋" w:eastAsia="仿宋" w:cs="仿宋"/>
          <w:b w:val="0"/>
          <w:sz w:val="24"/>
        </w:rPr>
        <w:t>智慧树／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超星雅尔/</w:t>
      </w:r>
      <w:r>
        <w:rPr>
          <w:rFonts w:hint="eastAsia" w:ascii="仿宋" w:hAnsi="仿宋" w:eastAsia="仿宋" w:cs="仿宋"/>
          <w:b w:val="0"/>
          <w:sz w:val="24"/>
        </w:rPr>
        <w:t>学校网络教学平台】上线运行；主编、参编教材【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】部，其中【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】部入选【省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部</w:t>
      </w:r>
      <w:r>
        <w:rPr>
          <w:rFonts w:hint="eastAsia" w:ascii="仿宋" w:hAnsi="仿宋" w:eastAsia="仿宋" w:cs="仿宋"/>
          <w:b w:val="0"/>
          <w:sz w:val="24"/>
        </w:rPr>
        <w:t>级规划教材／行业规划教材】；建成课程思政案例库【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】个、专业教学案例库【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】个。</w:t>
      </w:r>
    </w:p>
    <w:p w14:paraId="7D35D378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3. 教学改革持续深化。获批【省部级／校级】教改项目【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】项（其中重点项目【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】项），公开发表教研教改论文【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】篇；在【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】门课程中试点【案例教学／项目式教学／翻转课堂／AI辅助教学】，学生评教平均分【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】分，较上一年度【提高／下降】【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】分。</w:t>
      </w:r>
    </w:p>
    <w:p w14:paraId="00C49E5C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4. 实践教学不断强化。新增校外实习实训基地【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】个，累计共建【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】个；组织【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】名学生赴【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】家单位开展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认知实习、</w:t>
      </w:r>
      <w:r>
        <w:rPr>
          <w:rFonts w:hint="eastAsia" w:ascii="仿宋" w:hAnsi="仿宋" w:eastAsia="仿宋" w:cs="仿宋"/>
          <w:b w:val="0"/>
          <w:sz w:val="24"/>
        </w:rPr>
        <w:t>专业实习、毕业实习；实验实训项目开出率【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】%；依托【××产业学院／校企共建平台】实施“真题真做”教学改革项目【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】项。</w:t>
      </w:r>
    </w:p>
    <w:p w14:paraId="0922D7DE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（二）强化科研支撑，服务地方能力持续增强</w:t>
      </w:r>
    </w:p>
    <w:p w14:paraId="5C87C7CD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1. 科研项目与成果产出。本年度组织申报各级各类课题【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】项，立项【国家社科／自科基金项目】【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】项、省部级项目【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】项、厅级及校级项目【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】项、横向课题【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】项，到账科研经费【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】万元；发表学术论文【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】篇，其中CSSCI／北大核心【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】篇、SCI／SSCI／EI收录【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】篇；出版专著【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】部；获授权专利、软件著作权【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】项；获【省级／厅级】科研成果奖【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】项。</w:t>
      </w:r>
    </w:p>
    <w:p w14:paraId="3A606C65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2. 社会服务与决策咨询。围绕贵州【围绕“四新”主攻“四化”／乡村振兴／数字经济／文旅融合】开展专题研究，提交决策咨询报告【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】篇，获【领导批示／部门采纳】【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】篇；面向行业企业开展社会培训【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】场次、培训【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】人次；选派【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】名教师赴企业、行业、基层挂职或实践锻炼，累计【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】人月。</w:t>
      </w:r>
    </w:p>
    <w:p w14:paraId="55DE2B52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（三）注重梯队培养，队伍结构进一步优化</w:t>
      </w:r>
    </w:p>
    <w:p w14:paraId="2E691A86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1. 师德师风建设常抓不懈。组织师德师风专题学习【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】次，签订师德师风承诺书【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】份，全年无师德师风失范行为和教学事故发生；【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】名教师获【校级／省级】优秀教师、优秀共产党员、教育工作先进个人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、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师德标兵、红烛榜样、教学新秀、教学改革创新先锋、教学管理标兵、优秀指导教师</w:t>
      </w:r>
      <w:r>
        <w:rPr>
          <w:rFonts w:hint="eastAsia" w:ascii="仿宋" w:hAnsi="仿宋" w:eastAsia="仿宋" w:cs="仿宋"/>
          <w:b w:val="0"/>
          <w:sz w:val="24"/>
        </w:rPr>
        <w:t>等荣誉。</w:t>
      </w:r>
    </w:p>
    <w:p w14:paraId="2F14AFA3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2. 能力提升与梯队建设。派出教师参加进修、访学、培训【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】人次，其中攻读博士学位【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】人、国内（外）访学【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】人；实施青年教师导师制，为【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】名新进教师配备指导教师，开展“传帮带”听课【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】节；【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】名教师晋升【教授／副教授】职称。</w:t>
      </w:r>
    </w:p>
    <w:p w14:paraId="28D7BFBC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3. 教学能力与竞赛带动。组织教师参加【青年教师教学竞赛／教学创新大赛／微课比赛】，获【省级／校级】奖项【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】项；开展教研室内部教学研讨、集体听课评课【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】次，形成“人人过关、优者示范”的良性机制。</w:t>
      </w:r>
    </w:p>
    <w:p w14:paraId="085266F6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（四）坚持以生为本，学生发展成效明显</w:t>
      </w:r>
    </w:p>
    <w:p w14:paraId="62125685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1.学科竞赛与创新创业。指导学生参加【中国国际大学生创新大赛（原“互联网+”大赛）／“挑战杯”／全国大学生××学科竞赛】等赛事，获国家级奖项【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】项、省级奖项【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】项；指导大学生创新创业训练计划项目立项国家级【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】项、省级【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】项。</w:t>
      </w:r>
    </w:p>
    <w:p w14:paraId="7C6C98EC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2.学业指导与就业帮扶。落实本科生导师制，开展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专业</w:t>
      </w:r>
      <w:r>
        <w:rPr>
          <w:rFonts w:hint="eastAsia" w:ascii="仿宋" w:hAnsi="仿宋" w:eastAsia="仿宋" w:cs="仿宋"/>
          <w:b w:val="0"/>
          <w:sz w:val="24"/>
        </w:rPr>
        <w:t>辅导、考研指导、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英语过级辅导、</w:t>
      </w:r>
      <w:r>
        <w:rPr>
          <w:rFonts w:hint="eastAsia" w:ascii="仿宋" w:hAnsi="仿宋" w:eastAsia="仿宋" w:cs="仿宋"/>
          <w:b w:val="0"/>
          <w:sz w:val="24"/>
        </w:rPr>
        <w:t>就业帮扶【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】人次；本届毕业生【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】人，初次去向落实率【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】%，考研录取【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，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英语四级/六级过级</w:t>
      </w:r>
      <w:r>
        <w:rPr>
          <w:rFonts w:hint="eastAsia" w:ascii="仿宋" w:hAnsi="仿宋" w:eastAsia="仿宋" w:cs="仿宋"/>
          <w:b w:val="0"/>
          <w:sz w:val="24"/>
        </w:rPr>
        <w:t>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】人；举办专业认知教育、职业规划讲座、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英语学习辅导、</w:t>
      </w:r>
      <w:r>
        <w:rPr>
          <w:rFonts w:hint="eastAsia" w:ascii="仿宋" w:hAnsi="仿宋" w:eastAsia="仿宋" w:cs="仿宋"/>
          <w:b w:val="0"/>
          <w:sz w:val="24"/>
        </w:rPr>
        <w:t>校友讲坛等活动【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】场。</w:t>
      </w:r>
    </w:p>
    <w:p w14:paraId="5663147E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（五）突出党建引领，课程思政落地见效</w:t>
      </w:r>
    </w:p>
    <w:p w14:paraId="142CD914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发挥党支部政治功能，落实主题党日制度，全年开展组织生活【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】次；推动党建与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专业建设</w:t>
      </w:r>
      <w:r>
        <w:rPr>
          <w:rFonts w:hint="eastAsia" w:ascii="仿宋" w:hAnsi="仿宋" w:eastAsia="仿宋" w:cs="仿宋"/>
          <w:b w:val="0"/>
          <w:sz w:val="24"/>
        </w:rPr>
        <w:t>深度融合，在【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】门课程中系统融入思政元素，获批【课程思政示范课程／课程思政教学团队／课程思政教学名师】【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】项；严格落实意识形态工作责任制，教材选用、课堂教学、讲座论坛、网络阵地全年无意识形态问题。</w:t>
      </w:r>
    </w:p>
    <w:p w14:paraId="5A577363">
      <w:pPr>
        <w:spacing w:before="200" w:after="100" w:line="360" w:lineRule="auto"/>
        <w:jc w:val="left"/>
        <w:rPr>
          <w:rFonts w:hint="eastAsia" w:ascii="Times New Roman" w:hAnsi="Times New Roman" w:eastAsia="黑体"/>
          <w:b/>
          <w:sz w:val="28"/>
        </w:rPr>
      </w:pPr>
      <w:r>
        <w:rPr>
          <w:rFonts w:hint="eastAsia" w:ascii="Times New Roman" w:hAnsi="Times New Roman" w:eastAsia="黑体"/>
          <w:b/>
          <w:sz w:val="28"/>
          <w:lang w:val="en-US" w:eastAsia="zh-CN"/>
        </w:rPr>
        <w:t>三</w:t>
      </w:r>
      <w:r>
        <w:rPr>
          <w:rFonts w:ascii="Times New Roman" w:hAnsi="Times New Roman" w:eastAsia="黑体"/>
          <w:b/>
          <w:sz w:val="28"/>
        </w:rPr>
        <w:t>、</w:t>
      </w:r>
      <w:r>
        <w:rPr>
          <w:rFonts w:hint="eastAsia" w:ascii="Times New Roman" w:hAnsi="Times New Roman" w:eastAsia="黑体"/>
          <w:b/>
          <w:sz w:val="28"/>
        </w:rPr>
        <w:t>特色亮点</w:t>
      </w:r>
    </w:p>
    <w:p w14:paraId="291B2610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（一）【亮点一，如：构建“课程＋竞赛＋项目”三位一体实践育人体系，实现学科竞赛省赛获奖数量翻倍。】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sz w:val="24"/>
        </w:rPr>
        <w:t>具体做法：【……】，取得成效：【……】。</w:t>
      </w:r>
    </w:p>
    <w:p w14:paraId="51B42F32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 xml:space="preserve">（二）【亮点二，如：依托产业学院推行“真题真做”毕业设计改革，真题率达到 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>%。】具体做法：【……】，取得成效：【……】。</w:t>
      </w:r>
    </w:p>
    <w:p w14:paraId="59541F06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  <w:r>
        <w:rPr>
          <w:rFonts w:hint="eastAsia" w:ascii="仿宋" w:hAnsi="仿宋" w:eastAsia="仿宋" w:cs="仿宋"/>
          <w:b w:val="0"/>
          <w:sz w:val="24"/>
        </w:rPr>
        <w:t>（三）【亮点三，如：开展 AI 赋能课堂教学的校本探索，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编写数字教材/讲义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本，</w:t>
      </w:r>
      <w:r>
        <w:rPr>
          <w:rFonts w:hint="eastAsia" w:ascii="仿宋" w:hAnsi="仿宋" w:eastAsia="仿宋" w:cs="仿宋"/>
          <w:b w:val="0"/>
          <w:sz w:val="24"/>
        </w:rPr>
        <w:t xml:space="preserve">建成 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×</w:t>
      </w:r>
      <w:r>
        <w:rPr>
          <w:rFonts w:hint="eastAsia" w:ascii="仿宋" w:hAnsi="仿宋" w:eastAsia="仿宋" w:cs="仿宋"/>
          <w:b w:val="0"/>
          <w:sz w:val="24"/>
        </w:rPr>
        <w:t xml:space="preserve"> 门智慧课程。】具体做法：【……】，取得成效：【……】。</w:t>
      </w:r>
    </w:p>
    <w:p w14:paraId="3D1ED24A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  <w:lang w:eastAsia="zh-CN"/>
        </w:rPr>
      </w:pPr>
      <w:r>
        <w:rPr>
          <w:rFonts w:hint="eastAsia" w:ascii="仿宋" w:hAnsi="仿宋" w:eastAsia="仿宋" w:cs="仿宋"/>
          <w:b w:val="0"/>
          <w:sz w:val="24"/>
        </w:rPr>
        <w:t>（</w:t>
      </w:r>
      <w:r>
        <w:rPr>
          <w:rFonts w:hint="eastAsia" w:ascii="仿宋" w:hAnsi="仿宋" w:eastAsia="仿宋" w:cs="仿宋"/>
          <w:b w:val="0"/>
          <w:sz w:val="24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sz w:val="24"/>
        </w:rPr>
        <w:t>）</w:t>
      </w:r>
      <w:r>
        <w:rPr>
          <w:rFonts w:hint="eastAsia" w:ascii="仿宋" w:hAnsi="仿宋" w:eastAsia="仿宋" w:cs="仿宋"/>
          <w:b w:val="0"/>
          <w:sz w:val="24"/>
          <w:lang w:eastAsia="zh-CN"/>
        </w:rPr>
        <w:t>……</w:t>
      </w:r>
    </w:p>
    <w:p w14:paraId="5ABD4F33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</w:rPr>
      </w:pPr>
    </w:p>
    <w:p w14:paraId="11215C39">
      <w:pPr>
        <w:spacing w:before="200" w:after="100" w:line="360" w:lineRule="auto"/>
        <w:jc w:val="left"/>
        <w:rPr>
          <w:rFonts w:hint="eastAsia" w:eastAsia="黑体"/>
          <w:lang w:val="en-US" w:eastAsia="zh-CN"/>
        </w:rPr>
      </w:pPr>
      <w:r>
        <w:rPr>
          <w:rFonts w:hint="eastAsia" w:eastAsia="黑体"/>
          <w:b/>
          <w:sz w:val="28"/>
          <w:lang w:val="en-US" w:eastAsia="zh-CN"/>
        </w:rPr>
        <w:t>四</w:t>
      </w:r>
      <w:r>
        <w:rPr>
          <w:rFonts w:ascii="Times New Roman" w:hAnsi="Times New Roman" w:eastAsia="黑体"/>
          <w:b/>
          <w:sz w:val="28"/>
        </w:rPr>
        <w:t>、主要问题与</w:t>
      </w:r>
      <w:r>
        <w:rPr>
          <w:rFonts w:hint="eastAsia" w:eastAsia="黑体"/>
          <w:b/>
          <w:sz w:val="28"/>
          <w:lang w:val="en-US" w:eastAsia="zh-CN"/>
        </w:rPr>
        <w:t>改进</w:t>
      </w:r>
    </w:p>
    <w:p w14:paraId="74913878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24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4"/>
        </w:rPr>
        <w:t>主要问题和不足</w:t>
      </w:r>
    </w:p>
    <w:p w14:paraId="2E47A6C9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  <w:lang w:eastAsia="zh-CN"/>
        </w:rPr>
      </w:pPr>
    </w:p>
    <w:p w14:paraId="1EADE2DE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24"/>
          <w:lang w:eastAsia="zh-CN"/>
        </w:rPr>
        <w:t>）改进措施</w:t>
      </w:r>
    </w:p>
    <w:p w14:paraId="7F68F637">
      <w:pPr>
        <w:spacing w:before="40" w:after="280" w:line="360" w:lineRule="auto"/>
        <w:ind w:firstLine="480"/>
        <w:jc w:val="both"/>
        <w:rPr>
          <w:rFonts w:hint="eastAsia" w:ascii="仿宋" w:hAnsi="仿宋" w:eastAsia="仿宋" w:cs="仿宋"/>
          <w:b w:val="0"/>
          <w:sz w:val="24"/>
          <w:lang w:eastAsia="zh-CN"/>
        </w:rPr>
      </w:pPr>
    </w:p>
    <w:p w14:paraId="0225278A">
      <w:pPr>
        <w:spacing w:before="40" w:after="120" w:line="360" w:lineRule="auto"/>
        <w:ind w:firstLine="480"/>
        <w:jc w:val="both"/>
        <w:rPr>
          <w:rFonts w:hint="eastAsia" w:ascii="仿宋" w:hAnsi="仿宋" w:eastAsia="仿宋" w:cs="仿宋"/>
          <w:b/>
          <w:bCs/>
          <w:sz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24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后期</w:t>
      </w:r>
      <w:r>
        <w:rPr>
          <w:rFonts w:hint="eastAsia" w:ascii="仿宋" w:hAnsi="仿宋" w:eastAsia="仿宋" w:cs="仿宋"/>
          <w:b/>
          <w:bCs/>
          <w:sz w:val="24"/>
          <w:lang w:eastAsia="zh-CN"/>
        </w:rPr>
        <w:t>工作重点</w:t>
      </w:r>
    </w:p>
    <w:p w14:paraId="1BFD1B26">
      <w:pPr>
        <w:spacing w:before="40" w:after="280" w:line="360" w:lineRule="auto"/>
        <w:ind w:firstLine="480"/>
        <w:jc w:val="both"/>
      </w:pPr>
    </w:p>
    <w:p w14:paraId="39082555">
      <w:pPr>
        <w:spacing w:before="40" w:after="280" w:line="360" w:lineRule="auto"/>
        <w:ind w:firstLine="480"/>
        <w:jc w:val="both"/>
      </w:pPr>
    </w:p>
    <w:tbl>
      <w:tblPr>
        <w:tblStyle w:val="33"/>
        <w:tblW w:w="9080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0"/>
      </w:tblGrid>
      <w:tr w14:paraId="094C698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9080" w:type="dxa"/>
            <w:vAlign w:val="bottom"/>
          </w:tcPr>
          <w:p w14:paraId="4D204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/>
              <w:jc w:val="lef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教研室负责人（签字）：____________日期：____________</w:t>
            </w:r>
          </w:p>
        </w:tc>
      </w:tr>
      <w:tr w14:paraId="654FFCA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9080" w:type="dxa"/>
            <w:vAlign w:val="bottom"/>
          </w:tcPr>
          <w:p w14:paraId="4DC2A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 w:firstLine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二级学院（部、处）审核意见：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同意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需修改后重新报送</w:t>
            </w:r>
          </w:p>
        </w:tc>
      </w:tr>
      <w:tr w14:paraId="544455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  <w:jc w:val="center"/>
        </w:trPr>
        <w:tc>
          <w:tcPr>
            <w:tcW w:w="9080" w:type="dxa"/>
            <w:vAlign w:val="bottom"/>
          </w:tcPr>
          <w:p w14:paraId="7798A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 w:firstLineChars="0"/>
              <w:jc w:val="lef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审核人（签字）：____________　　日期：____________</w:t>
            </w:r>
          </w:p>
        </w:tc>
      </w:tr>
    </w:tbl>
    <w:p w14:paraId="093923E5">
      <w:pPr>
        <w:spacing w:before="40" w:after="80" w:line="360" w:lineRule="auto"/>
        <w:jc w:val="both"/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9F0D1B-0B1D-42CA-B4B4-38B8116A8C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仓耳渔阳体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4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7B25DA7-8C16-4070-93F1-AB33F2BFFD45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16DC4E3-376F-46C1-9E30-07171AC63C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B1F7DC1-17E8-4516-8AB9-4C192ED45B6B}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0271"/>
    <w:rsid w:val="00AA1D8D"/>
    <w:rsid w:val="00B47730"/>
    <w:rsid w:val="00CB0664"/>
    <w:rsid w:val="00FC693F"/>
    <w:rsid w:val="03117995"/>
    <w:rsid w:val="06056A6E"/>
    <w:rsid w:val="067A1DFC"/>
    <w:rsid w:val="070F49A2"/>
    <w:rsid w:val="07713742"/>
    <w:rsid w:val="07956430"/>
    <w:rsid w:val="07C211C5"/>
    <w:rsid w:val="07EA70C4"/>
    <w:rsid w:val="07FB58A4"/>
    <w:rsid w:val="0A8719CD"/>
    <w:rsid w:val="0AA3084A"/>
    <w:rsid w:val="0AFD1545"/>
    <w:rsid w:val="0EA15DA7"/>
    <w:rsid w:val="11781721"/>
    <w:rsid w:val="11A54101"/>
    <w:rsid w:val="12DE2797"/>
    <w:rsid w:val="132057B3"/>
    <w:rsid w:val="13992D4A"/>
    <w:rsid w:val="14B7012D"/>
    <w:rsid w:val="14C257AC"/>
    <w:rsid w:val="1599015D"/>
    <w:rsid w:val="16565A50"/>
    <w:rsid w:val="18A96C73"/>
    <w:rsid w:val="1B2C5AC5"/>
    <w:rsid w:val="1C6277D6"/>
    <w:rsid w:val="1C9F1DD3"/>
    <w:rsid w:val="1D382CE5"/>
    <w:rsid w:val="1DB34116"/>
    <w:rsid w:val="1DE228BA"/>
    <w:rsid w:val="1E320A25"/>
    <w:rsid w:val="1E566E1F"/>
    <w:rsid w:val="21645CF1"/>
    <w:rsid w:val="21965F62"/>
    <w:rsid w:val="21FA6D5D"/>
    <w:rsid w:val="22973BD0"/>
    <w:rsid w:val="233B157D"/>
    <w:rsid w:val="24047F01"/>
    <w:rsid w:val="256D244F"/>
    <w:rsid w:val="26372DC2"/>
    <w:rsid w:val="27836900"/>
    <w:rsid w:val="27A07774"/>
    <w:rsid w:val="28503431"/>
    <w:rsid w:val="289A522D"/>
    <w:rsid w:val="29346F27"/>
    <w:rsid w:val="2A6558D0"/>
    <w:rsid w:val="2B934E62"/>
    <w:rsid w:val="2BB733B6"/>
    <w:rsid w:val="2BCA5146"/>
    <w:rsid w:val="2CA97ADA"/>
    <w:rsid w:val="2CCD2011"/>
    <w:rsid w:val="2CD37E34"/>
    <w:rsid w:val="2D0227AB"/>
    <w:rsid w:val="2E082C92"/>
    <w:rsid w:val="2EDB351F"/>
    <w:rsid w:val="2EF02945"/>
    <w:rsid w:val="2F411448"/>
    <w:rsid w:val="2FC74580"/>
    <w:rsid w:val="300873B4"/>
    <w:rsid w:val="32057213"/>
    <w:rsid w:val="32972A81"/>
    <w:rsid w:val="3297758E"/>
    <w:rsid w:val="33CF4D0C"/>
    <w:rsid w:val="33D56C16"/>
    <w:rsid w:val="341B1908"/>
    <w:rsid w:val="34653D70"/>
    <w:rsid w:val="35E508A6"/>
    <w:rsid w:val="36616112"/>
    <w:rsid w:val="37374A26"/>
    <w:rsid w:val="39644B48"/>
    <w:rsid w:val="3A915A51"/>
    <w:rsid w:val="3AC32FB7"/>
    <w:rsid w:val="3D511C52"/>
    <w:rsid w:val="3F286E52"/>
    <w:rsid w:val="3FFC0C9F"/>
    <w:rsid w:val="406B38BC"/>
    <w:rsid w:val="40805CFA"/>
    <w:rsid w:val="40953369"/>
    <w:rsid w:val="40993E9A"/>
    <w:rsid w:val="40A8309D"/>
    <w:rsid w:val="41D25922"/>
    <w:rsid w:val="41EF2605"/>
    <w:rsid w:val="42EB54C2"/>
    <w:rsid w:val="43D019CF"/>
    <w:rsid w:val="441427F7"/>
    <w:rsid w:val="447E086E"/>
    <w:rsid w:val="44C40BD1"/>
    <w:rsid w:val="461940F5"/>
    <w:rsid w:val="47C15B61"/>
    <w:rsid w:val="49582C60"/>
    <w:rsid w:val="499F5FF1"/>
    <w:rsid w:val="4AD36F68"/>
    <w:rsid w:val="4BB772C7"/>
    <w:rsid w:val="4BBC058C"/>
    <w:rsid w:val="4C0F2222"/>
    <w:rsid w:val="4C617760"/>
    <w:rsid w:val="4D4D7CB5"/>
    <w:rsid w:val="4D9C6319"/>
    <w:rsid w:val="4DA3384C"/>
    <w:rsid w:val="4DF61347"/>
    <w:rsid w:val="4EC42815"/>
    <w:rsid w:val="4F4F59DB"/>
    <w:rsid w:val="4FAE39AE"/>
    <w:rsid w:val="500C4CE2"/>
    <w:rsid w:val="51A76A58"/>
    <w:rsid w:val="51BB0DAD"/>
    <w:rsid w:val="553C1274"/>
    <w:rsid w:val="55AA1478"/>
    <w:rsid w:val="56097670"/>
    <w:rsid w:val="565C2ED8"/>
    <w:rsid w:val="592E180D"/>
    <w:rsid w:val="5B2C65A4"/>
    <w:rsid w:val="5B925F49"/>
    <w:rsid w:val="5BBC4E21"/>
    <w:rsid w:val="5BCE2E1D"/>
    <w:rsid w:val="5CDA5F34"/>
    <w:rsid w:val="5E05765A"/>
    <w:rsid w:val="5EC06100"/>
    <w:rsid w:val="5FD4665F"/>
    <w:rsid w:val="607D515C"/>
    <w:rsid w:val="62FA655D"/>
    <w:rsid w:val="66647A8B"/>
    <w:rsid w:val="66D97A4A"/>
    <w:rsid w:val="673B76B2"/>
    <w:rsid w:val="69226E15"/>
    <w:rsid w:val="699B4CCF"/>
    <w:rsid w:val="6A601595"/>
    <w:rsid w:val="6BD8381C"/>
    <w:rsid w:val="6CBE1074"/>
    <w:rsid w:val="6F6170C9"/>
    <w:rsid w:val="6FD9000D"/>
    <w:rsid w:val="6FDD2296"/>
    <w:rsid w:val="71434477"/>
    <w:rsid w:val="71F02BFB"/>
    <w:rsid w:val="7271224F"/>
    <w:rsid w:val="738A6D0B"/>
    <w:rsid w:val="741373FD"/>
    <w:rsid w:val="749A44CF"/>
    <w:rsid w:val="74CE55B2"/>
    <w:rsid w:val="76372420"/>
    <w:rsid w:val="767851C6"/>
    <w:rsid w:val="775252D0"/>
    <w:rsid w:val="77F469ED"/>
    <w:rsid w:val="78755945"/>
    <w:rsid w:val="78762EDB"/>
    <w:rsid w:val="78856643"/>
    <w:rsid w:val="79507C6C"/>
    <w:rsid w:val="796F7551"/>
    <w:rsid w:val="79F82EA1"/>
    <w:rsid w:val="7C51473F"/>
    <w:rsid w:val="7DC6654E"/>
    <w:rsid w:val="7DD554FF"/>
    <w:rsid w:val="7DE368C2"/>
    <w:rsid w:val="7E7E5E60"/>
    <w:rsid w:val="7E8A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2510</Words>
  <Characters>2589</Characters>
  <Lines>0</Lines>
  <Paragraphs>0</Paragraphs>
  <TotalTime>0</TotalTime>
  <ScaleCrop>false</ScaleCrop>
  <LinksUpToDate>false</LinksUpToDate>
  <CharactersWithSpaces>2609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唐明贵</cp:lastModifiedBy>
  <dcterms:modified xsi:type="dcterms:W3CDTF">2026-09-28T07:52:25Z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eyJoZGlkIjoiNjc0MDE4MWYwN2MxNzlkMmIwYmI1MzRhZDFlYzA4MzIiLCJ1c2VySWQiOiIxOTAyMjM0OTcifQ==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D8D100DFD7874D97950D8C8FDE9FAF73_13</vt:lpwstr>
  </property>
</Properties>
</file>