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D0E97">
      <w:pPr>
        <w:spacing w:before="0" w:after="0" w:line="800" w:lineRule="exact"/>
        <w:jc w:val="center"/>
        <w:rPr>
          <w:sz w:val="44"/>
          <w:szCs w:val="44"/>
        </w:rPr>
      </w:pPr>
      <w:r>
        <w:rPr>
          <w:rFonts w:ascii="Times New Roman" w:hAnsi="Times New Roman" w:eastAsia="方正大标宋简体" w:cs="Times New Roman"/>
          <w:b/>
          <w:sz w:val="44"/>
          <w:szCs w:val="44"/>
        </w:rPr>
        <w:t>贵州商学院教研活动记录表</w:t>
      </w:r>
    </w:p>
    <w:p w14:paraId="37A2FBFA">
      <w:pPr>
        <w:spacing w:before="0" w:after="0" w:line="520" w:lineRule="exact"/>
        <w:jc w:val="center"/>
        <w:rPr>
          <w:sz w:val="28"/>
          <w:szCs w:val="28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（20</w:t>
      </w:r>
      <w:r>
        <w:rPr>
          <w:rFonts w:hint="eastAsia" w:eastAsia="宋体" w:cs="Times New Roman"/>
          <w:b/>
          <w:sz w:val="28"/>
          <w:szCs w:val="28"/>
          <w:lang w:val="en-US" w:eastAsia="zh-CN"/>
        </w:rPr>
        <w:t>26</w:t>
      </w:r>
      <w:r>
        <w:rPr>
          <w:rFonts w:ascii="Times New Roman" w:hAnsi="Times New Roman" w:eastAsia="宋体" w:cs="Times New Roman"/>
          <w:b/>
          <w:sz w:val="28"/>
          <w:szCs w:val="28"/>
        </w:rPr>
        <w:t>—20</w:t>
      </w:r>
      <w:r>
        <w:rPr>
          <w:rFonts w:hint="eastAsia" w:eastAsia="宋体" w:cs="Times New Roman"/>
          <w:b/>
          <w:sz w:val="28"/>
          <w:szCs w:val="28"/>
          <w:lang w:val="en-US" w:eastAsia="zh-CN"/>
        </w:rPr>
        <w:t>27</w:t>
      </w:r>
      <w:r>
        <w:rPr>
          <w:rFonts w:ascii="Times New Roman" w:hAnsi="Times New Roman" w:eastAsia="宋体" w:cs="Times New Roman"/>
          <w:b/>
          <w:sz w:val="28"/>
          <w:szCs w:val="28"/>
        </w:rPr>
        <w:t>学年</w:t>
      </w:r>
      <w:r>
        <w:rPr>
          <w:rFonts w:hint="eastAsia" w:eastAsia="宋体" w:cs="Times New Roman"/>
          <w:b/>
          <w:sz w:val="28"/>
          <w:szCs w:val="28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b/>
          <w:sz w:val="28"/>
          <w:szCs w:val="28"/>
        </w:rPr>
        <w:t>第</w:t>
      </w:r>
      <w:r>
        <w:rPr>
          <w:rFonts w:hint="eastAsia" w:eastAsia="宋体" w:cs="Times New Roman"/>
          <w:b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eastAsia="宋体" w:cs="Times New Roman"/>
          <w:b/>
          <w:color w:val="000000" w:themeColor="text1"/>
          <w:sz w:val="28"/>
          <w:szCs w:val="28"/>
          <w:u w:val="none"/>
          <w:lang w:val="en-US" w:eastAsia="zh-CN"/>
          <w14:textFill>
            <w14:gradFill>
              <w14:gsLst>
                <w14:gs w14:pos="50000">
                  <w14:srgbClr w14:val="425FDF"/>
                </w14:gs>
                <w14:gs w14:pos="0">
                  <w14:srgbClr w14:val="2835B6"/>
                </w14:gs>
                <w14:gs w14:pos="99000">
                  <w14:srgbClr w14:val="7490FE"/>
                </w14:gs>
              </w14:gsLst>
              <w14:lin w14:ang="16200000" w14:scaled="0"/>
            </w14:gradFill>
          </w14:textFill>
        </w:rPr>
        <w:t>一</w:t>
      </w:r>
      <w:r>
        <w:rPr>
          <w:rFonts w:hint="eastAsia" w:eastAsia="宋体" w:cs="Times New Roman"/>
          <w:b/>
          <w:sz w:val="28"/>
          <w:szCs w:val="28"/>
          <w:u w:val="none"/>
          <w:lang w:val="en-US" w:eastAsia="zh-CN"/>
          <w14:textFill>
            <w14:gradFill>
              <w14:gsLst>
                <w14:gs w14:pos="50000">
                  <w14:srgbClr w14:val="425FDF"/>
                </w14:gs>
                <w14:gs w14:pos="0">
                  <w14:srgbClr w14:val="2835B6"/>
                </w14:gs>
                <w14:gs w14:pos="99000">
                  <w14:srgbClr w14:val="7490FE"/>
                </w14:gs>
              </w14:gsLst>
              <w14:lin w14:ang="16200000" w14:scaled="0"/>
            </w14:gradFill>
          </w14:textFill>
        </w:rPr>
        <w:t xml:space="preserve"> </w:t>
      </w:r>
      <w:r>
        <w:rPr>
          <w:rFonts w:ascii="Times New Roman" w:hAnsi="Times New Roman" w:eastAsia="宋体" w:cs="Times New Roman"/>
          <w:b/>
          <w:sz w:val="28"/>
          <w:szCs w:val="28"/>
        </w:rPr>
        <w:t>学期</w:t>
      </w:r>
      <w:r>
        <w:rPr>
          <w:rFonts w:hint="eastAsia" w:eastAsia="宋体" w:cs="Times New Roman"/>
          <w:b/>
          <w:sz w:val="28"/>
          <w:szCs w:val="28"/>
          <w:lang w:val="en-US" w:eastAsia="zh-CN"/>
        </w:rPr>
        <w:t xml:space="preserve">  第</w:t>
      </w:r>
      <w:r>
        <w:rPr>
          <w:rFonts w:hint="eastAsia" w:eastAsia="宋体" w:cs="Times New Roman"/>
          <w:b/>
          <w:sz w:val="28"/>
          <w:szCs w:val="28"/>
          <w:lang w:val="en-US" w:eastAsia="zh-CN"/>
          <w14:textFill>
            <w14:gradFill>
              <w14:gsLst>
                <w14:gs w14:pos="50000">
                  <w14:srgbClr w14:val="425FDF"/>
                </w14:gs>
                <w14:gs w14:pos="0">
                  <w14:srgbClr w14:val="2835B6"/>
                </w14:gs>
                <w14:gs w14:pos="99000">
                  <w14:srgbClr w14:val="7490FE"/>
                </w14:gs>
              </w14:gsLst>
              <w14:lin w14:ang="16200000" w14:scaled="0"/>
            </w14:gradFill>
          </w14:textFill>
        </w:rPr>
        <w:t>02</w:t>
      </w:r>
      <w:r>
        <w:rPr>
          <w:rFonts w:hint="eastAsia" w:eastAsia="宋体" w:cs="Times New Roman"/>
          <w:b/>
          <w:sz w:val="28"/>
          <w:szCs w:val="28"/>
          <w:lang w:val="en-US" w:eastAsia="zh-CN"/>
        </w:rPr>
        <w:t>周</w:t>
      </w:r>
      <w:r>
        <w:rPr>
          <w:rFonts w:ascii="Times New Roman" w:hAnsi="Times New Roman" w:eastAsia="宋体" w:cs="Times New Roman"/>
          <w:b/>
          <w:sz w:val="28"/>
          <w:szCs w:val="28"/>
        </w:rPr>
        <w:t>）</w:t>
      </w:r>
    </w:p>
    <w:p w14:paraId="7ECD2958">
      <w:pPr>
        <w:spacing w:before="0" w:after="0"/>
      </w:pPr>
    </w:p>
    <w:tbl>
      <w:tblPr>
        <w:tblStyle w:val="32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7"/>
        <w:gridCol w:w="2855"/>
        <w:gridCol w:w="1905"/>
        <w:gridCol w:w="2931"/>
      </w:tblGrid>
      <w:tr w14:paraId="331BC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tblHeader/>
        </w:trPr>
        <w:tc>
          <w:tcPr>
            <w:tcW w:w="9638" w:type="dxa"/>
            <w:gridSpan w:val="4"/>
          </w:tcPr>
          <w:p w14:paraId="0FDA31D1">
            <w:pPr>
              <w:spacing w:before="30" w:after="30" w:line="320" w:lineRule="exact"/>
              <w:jc w:val="left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 w:eastAsia="黑体" w:cs="Times New Roman"/>
                <w:b w:val="0"/>
                <w:sz w:val="24"/>
                <w:szCs w:val="24"/>
                <w:lang w:val="en-US" w:eastAsia="zh-CN"/>
              </w:rPr>
              <w:t>No.</w:t>
            </w:r>
            <w:r>
              <w:rPr>
                <w:rFonts w:hint="eastAsia" w:eastAsia="黑体" w:cs="Times New Roman"/>
                <w:b w:val="0"/>
                <w:color w:val="FF0000"/>
                <w:sz w:val="24"/>
                <w:szCs w:val="24"/>
                <w:lang w:val="en-US" w:eastAsia="zh-CN"/>
              </w:rPr>
              <w:t>WLGL</w:t>
            </w:r>
            <w:r>
              <w:rPr>
                <w:rFonts w:hint="eastAsia" w:eastAsia="黑体" w:cs="Times New Roman"/>
                <w:b w:val="0"/>
                <w:sz w:val="24"/>
                <w:szCs w:val="24"/>
                <w:lang w:val="en-US" w:eastAsia="zh-CN"/>
              </w:rPr>
              <w:t>262701</w:t>
            </w:r>
            <w:r>
              <w:rPr>
                <w:rFonts w:hint="eastAsia" w:eastAsia="黑体" w:cs="Times New Roman"/>
                <w:b w:val="0"/>
                <w:color w:val="0000FF"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eastAsia="黑体" w:cs="Times New Roman"/>
                <w:b w:val="0"/>
                <w:color w:val="0000FF"/>
                <w:sz w:val="24"/>
                <w:szCs w:val="24"/>
                <w:highlight w:val="yellow"/>
                <w:lang w:val="en-US" w:eastAsia="zh-CN"/>
              </w:rPr>
              <w:t>【</w:t>
            </w:r>
            <w:r>
              <w:rPr>
                <w:rFonts w:hint="eastAsia" w:eastAsia="黑体" w:cs="Times New Roman"/>
                <w:b w:val="0"/>
                <w:color w:val="FF0000"/>
                <w:sz w:val="24"/>
                <w:szCs w:val="24"/>
                <w:highlight w:val="yellow"/>
                <w:lang w:val="en-US" w:eastAsia="zh-CN"/>
              </w:rPr>
              <w:t>WLGL（物流管理）教研室首字母大写，</w:t>
            </w:r>
            <w:r>
              <w:rPr>
                <w:rFonts w:hint="eastAsia" w:eastAsia="黑体" w:cs="Times New Roman"/>
                <w:b w:val="0"/>
                <w:color w:val="0000FF"/>
                <w:sz w:val="24"/>
                <w:szCs w:val="24"/>
                <w:highlight w:val="yellow"/>
                <w:lang w:val="en-US" w:eastAsia="zh-CN"/>
              </w:rPr>
              <w:t>01代表第1次教研活动】</w:t>
            </w:r>
          </w:p>
        </w:tc>
      </w:tr>
      <w:tr w14:paraId="4175E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1947" w:type="dxa"/>
          </w:tcPr>
          <w:p w14:paraId="13BEBEF9">
            <w:pPr>
              <w:spacing w:before="30" w:after="30" w:line="320" w:lineRule="exact"/>
              <w:rPr>
                <w:b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 w:val="0"/>
                <w:sz w:val="24"/>
                <w:szCs w:val="24"/>
              </w:rPr>
              <w:t>教研室名称</w:t>
            </w:r>
          </w:p>
        </w:tc>
        <w:tc>
          <w:tcPr>
            <w:tcW w:w="2855" w:type="dxa"/>
          </w:tcPr>
          <w:p w14:paraId="395D236C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905" w:type="dxa"/>
          </w:tcPr>
          <w:p w14:paraId="3D15F468">
            <w:pPr>
              <w:spacing w:before="30" w:after="30" w:line="320" w:lineRule="exact"/>
              <w:rPr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学院（部、处）</w:t>
            </w:r>
          </w:p>
        </w:tc>
        <w:tc>
          <w:tcPr>
            <w:tcW w:w="2931" w:type="dxa"/>
          </w:tcPr>
          <w:p w14:paraId="5A98AEDA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bCs/>
                <w:sz w:val="24"/>
                <w:szCs w:val="24"/>
              </w:rPr>
            </w:pPr>
          </w:p>
        </w:tc>
      </w:tr>
      <w:tr w14:paraId="21361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1947" w:type="dxa"/>
          </w:tcPr>
          <w:p w14:paraId="73AE3B66">
            <w:pPr>
              <w:spacing w:before="30" w:after="30" w:line="320" w:lineRule="exact"/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 w:cs="Times New Roman"/>
                <w:b/>
                <w:bCs w:val="0"/>
                <w:sz w:val="24"/>
                <w:szCs w:val="24"/>
                <w:lang w:val="en-US" w:eastAsia="zh-CN"/>
              </w:rPr>
              <w:t>活动类型</w:t>
            </w:r>
          </w:p>
        </w:tc>
        <w:tc>
          <w:tcPr>
            <w:tcW w:w="2855" w:type="dxa"/>
          </w:tcPr>
          <w:p w14:paraId="34DE3CAE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 w:val="0"/>
                <w:color w:val="0000FF"/>
                <w:sz w:val="24"/>
                <w:szCs w:val="24"/>
              </w:rPr>
              <w:t>①集体备课</w:t>
            </w:r>
          </w:p>
        </w:tc>
        <w:tc>
          <w:tcPr>
            <w:tcW w:w="1905" w:type="dxa"/>
          </w:tcPr>
          <w:p w14:paraId="70C2B2C8">
            <w:pPr>
              <w:spacing w:before="30" w:after="30" w:line="320" w:lineRule="exact"/>
              <w:rPr>
                <w:rFonts w:hint="eastAsia" w:ascii="Times New Roman" w:hAnsi="Times New Roman" w:eastAsia="仿宋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b/>
                <w:bCs w:val="0"/>
                <w:sz w:val="24"/>
                <w:szCs w:val="24"/>
              </w:rPr>
              <w:t>活动主题</w:t>
            </w:r>
          </w:p>
        </w:tc>
        <w:tc>
          <w:tcPr>
            <w:tcW w:w="2931" w:type="dxa"/>
          </w:tcPr>
          <w:p w14:paraId="72768BE2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bCs/>
                <w:sz w:val="24"/>
                <w:szCs w:val="24"/>
              </w:rPr>
            </w:pPr>
          </w:p>
        </w:tc>
      </w:tr>
      <w:tr w14:paraId="25EA0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1947" w:type="dxa"/>
          </w:tcPr>
          <w:p w14:paraId="1CC29ED7">
            <w:pPr>
              <w:spacing w:before="30" w:after="30" w:line="320" w:lineRule="exact"/>
              <w:rPr>
                <w:rFonts w:ascii="Times New Roman" w:hAnsi="Times New Roman" w:eastAsia="仿宋" w:cs="Times New Roman"/>
                <w:b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 w:val="0"/>
                <w:sz w:val="24"/>
                <w:szCs w:val="24"/>
              </w:rPr>
              <w:t>活动时间</w:t>
            </w:r>
          </w:p>
        </w:tc>
        <w:tc>
          <w:tcPr>
            <w:tcW w:w="2855" w:type="dxa"/>
          </w:tcPr>
          <w:p w14:paraId="062B836C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905" w:type="dxa"/>
          </w:tcPr>
          <w:p w14:paraId="663F560A">
            <w:pPr>
              <w:spacing w:before="30" w:after="30" w:line="320" w:lineRule="exact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活动地点</w:t>
            </w:r>
          </w:p>
        </w:tc>
        <w:tc>
          <w:tcPr>
            <w:tcW w:w="2931" w:type="dxa"/>
          </w:tcPr>
          <w:p w14:paraId="7645DD35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bCs/>
                <w:sz w:val="24"/>
                <w:szCs w:val="24"/>
              </w:rPr>
            </w:pPr>
          </w:p>
        </w:tc>
      </w:tr>
      <w:tr w14:paraId="09C7D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1947" w:type="dxa"/>
            <w:shd w:val="clear" w:color="auto" w:fill="auto"/>
            <w:vAlign w:val="top"/>
          </w:tcPr>
          <w:p w14:paraId="4054A95B">
            <w:pPr>
              <w:spacing w:before="30" w:after="30" w:line="320" w:lineRule="exact"/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" w:cs="Times New Roman"/>
                <w:b/>
                <w:bCs w:val="0"/>
                <w:sz w:val="24"/>
                <w:szCs w:val="24"/>
              </w:rPr>
              <w:t>主持人</w:t>
            </w:r>
          </w:p>
        </w:tc>
        <w:tc>
          <w:tcPr>
            <w:tcW w:w="2855" w:type="dxa"/>
            <w:shd w:val="clear" w:color="auto" w:fill="auto"/>
            <w:vAlign w:val="top"/>
          </w:tcPr>
          <w:p w14:paraId="507C3A0E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bCs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905" w:type="dxa"/>
            <w:shd w:val="clear" w:color="auto" w:fill="auto"/>
            <w:vAlign w:val="top"/>
          </w:tcPr>
          <w:p w14:paraId="20C5DB03">
            <w:pPr>
              <w:spacing w:before="30" w:after="30" w:line="320" w:lineRule="exact"/>
              <w:rPr>
                <w:rFonts w:hint="eastAsia" w:ascii="Times New Roman" w:hAnsi="Times New Roman" w:eastAsia="仿宋" w:cs="Times New Roman"/>
                <w:b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4"/>
                <w:lang w:val="en-US" w:eastAsia="zh-CN"/>
              </w:rPr>
              <w:t>记录人</w:t>
            </w:r>
          </w:p>
        </w:tc>
        <w:tc>
          <w:tcPr>
            <w:tcW w:w="2931" w:type="dxa"/>
            <w:shd w:val="clear" w:color="auto" w:fill="auto"/>
            <w:vAlign w:val="top"/>
          </w:tcPr>
          <w:p w14:paraId="04F01F0E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bCs/>
                <w:sz w:val="24"/>
                <w:szCs w:val="24"/>
                <w:lang w:val="en-US" w:eastAsia="en-US" w:bidi="ar-SA"/>
              </w:rPr>
            </w:pPr>
          </w:p>
        </w:tc>
      </w:tr>
      <w:tr w14:paraId="321EB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tblHeader/>
        </w:trPr>
        <w:tc>
          <w:tcPr>
            <w:tcW w:w="1947" w:type="dxa"/>
            <w:vAlign w:val="center"/>
          </w:tcPr>
          <w:p w14:paraId="3BE3FC41">
            <w:pPr>
              <w:spacing w:before="30" w:after="30" w:line="320" w:lineRule="exact"/>
              <w:jc w:val="left"/>
              <w:rPr>
                <w:rFonts w:ascii="Times New Roman" w:hAnsi="Times New Roman" w:eastAsia="仿宋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eastAsia="仿宋" w:cs="Times New Roman"/>
                <w:b/>
                <w:bCs w:val="0"/>
                <w:sz w:val="24"/>
                <w:szCs w:val="24"/>
                <w:lang w:val="en-US" w:eastAsia="zh-CN"/>
              </w:rPr>
              <w:t>参与人（签到）</w:t>
            </w:r>
          </w:p>
        </w:tc>
        <w:tc>
          <w:tcPr>
            <w:tcW w:w="7691" w:type="dxa"/>
            <w:gridSpan w:val="3"/>
          </w:tcPr>
          <w:p w14:paraId="4539D9BC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bCs/>
                <w:sz w:val="24"/>
                <w:szCs w:val="24"/>
              </w:rPr>
            </w:pPr>
          </w:p>
        </w:tc>
      </w:tr>
      <w:tr w14:paraId="1EEA2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9638" w:type="dxa"/>
            <w:gridSpan w:val="4"/>
          </w:tcPr>
          <w:p w14:paraId="6225AB0B">
            <w:pPr>
              <w:spacing w:before="30" w:after="30" w:line="320" w:lineRule="exact"/>
              <w:rPr>
                <w:rFonts w:ascii="Times New Roman" w:hAnsi="Times New Roman" w:eastAsia="仿宋" w:cs="Times New Roman"/>
                <w:b/>
                <w:sz w:val="22"/>
                <w:szCs w:val="22"/>
              </w:rPr>
            </w:pPr>
            <w:r>
              <w:rPr>
                <w:rFonts w:hint="eastAsia" w:eastAsia="仿宋" w:cs="Times New Roman"/>
                <w:b/>
                <w:sz w:val="22"/>
                <w:szCs w:val="22"/>
                <w:lang w:val="en-US" w:eastAsia="zh-CN"/>
              </w:rPr>
              <w:t>教研活动</w:t>
            </w:r>
            <w:r>
              <w:rPr>
                <w:rFonts w:ascii="Times New Roman" w:hAnsi="Times New Roman" w:eastAsia="仿宋" w:cs="Times New Roman"/>
                <w:b/>
                <w:sz w:val="22"/>
                <w:szCs w:val="22"/>
              </w:rPr>
              <w:t>计划表</w:t>
            </w:r>
            <w:r>
              <w:rPr>
                <w:rFonts w:hint="eastAsia" w:eastAsia="仿宋" w:cs="Times New Roman"/>
                <w:b/>
                <w:sz w:val="22"/>
                <w:szCs w:val="22"/>
                <w:lang w:val="en-US" w:eastAsia="zh-CN"/>
              </w:rPr>
              <w:t>预期</w:t>
            </w:r>
            <w:r>
              <w:rPr>
                <w:rFonts w:ascii="Times New Roman" w:hAnsi="Times New Roman" w:eastAsia="仿宋" w:cs="Times New Roman"/>
                <w:b/>
                <w:sz w:val="22"/>
                <w:szCs w:val="22"/>
              </w:rPr>
              <w:t>成果：</w:t>
            </w:r>
          </w:p>
        </w:tc>
      </w:tr>
      <w:tr w14:paraId="5A155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</w:trPr>
        <w:tc>
          <w:tcPr>
            <w:tcW w:w="1947" w:type="dxa"/>
            <w:shd w:val="clear" w:color="auto" w:fill="D9D9D9"/>
          </w:tcPr>
          <w:p w14:paraId="3FF07206">
            <w:pPr>
              <w:spacing w:before="30" w:after="30" w:line="32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/>
                <w:bCs/>
                <w:sz w:val="24"/>
                <w:szCs w:val="24"/>
              </w:rPr>
              <w:t>记录环节</w:t>
            </w:r>
          </w:p>
        </w:tc>
        <w:tc>
          <w:tcPr>
            <w:tcW w:w="7691" w:type="dxa"/>
            <w:gridSpan w:val="3"/>
            <w:shd w:val="clear" w:color="auto" w:fill="D9D9D9"/>
          </w:tcPr>
          <w:p w14:paraId="50FD48DD">
            <w:pPr>
              <w:spacing w:before="30" w:after="30" w:line="32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/>
                <w:bCs/>
                <w:sz w:val="24"/>
                <w:szCs w:val="24"/>
              </w:rPr>
              <w:t>内　容　记　录</w:t>
            </w:r>
          </w:p>
        </w:tc>
      </w:tr>
      <w:tr w14:paraId="08FFA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tblHeader/>
        </w:trPr>
        <w:tc>
          <w:tcPr>
            <w:tcW w:w="1947" w:type="dxa"/>
            <w:vAlign w:val="center"/>
          </w:tcPr>
          <w:p w14:paraId="4B9D4F56">
            <w:pPr>
              <w:spacing w:before="30" w:after="30" w:line="320" w:lineRule="exact"/>
              <w:jc w:val="left"/>
              <w:rPr>
                <w:rFonts w:hint="eastAsia" w:eastAsia="仿宋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一、活动</w:t>
            </w:r>
            <w:r>
              <w:rPr>
                <w:rFonts w:hint="eastAsia" w:eastAsia="仿宋" w:cs="Times New Roman"/>
                <w:b/>
                <w:sz w:val="24"/>
                <w:szCs w:val="24"/>
                <w:lang w:val="en-US" w:eastAsia="zh-CN"/>
              </w:rPr>
              <w:t>目的</w:t>
            </w:r>
          </w:p>
        </w:tc>
        <w:tc>
          <w:tcPr>
            <w:tcW w:w="7691" w:type="dxa"/>
            <w:gridSpan w:val="3"/>
            <w:vAlign w:val="top"/>
          </w:tcPr>
          <w:p w14:paraId="2E0B4E97">
            <w:pPr>
              <w:spacing w:before="30" w:after="30" w:line="320" w:lineRule="exact"/>
            </w:pPr>
          </w:p>
          <w:p w14:paraId="460DC8F3">
            <w:pPr>
              <w:spacing w:before="30" w:after="30" w:line="320" w:lineRule="exact"/>
            </w:pPr>
          </w:p>
        </w:tc>
      </w:tr>
      <w:tr w14:paraId="5B15A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  <w:tblHeader/>
        </w:trPr>
        <w:tc>
          <w:tcPr>
            <w:tcW w:w="1947" w:type="dxa"/>
            <w:vAlign w:val="center"/>
          </w:tcPr>
          <w:p w14:paraId="5F62BA87">
            <w:pPr>
              <w:spacing w:before="30" w:after="30" w:line="320" w:lineRule="exact"/>
              <w:jc w:val="left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hint="eastAsia" w:eastAsia="仿宋" w:cs="Times New Roman"/>
                <w:b/>
                <w:sz w:val="24"/>
                <w:szCs w:val="24"/>
                <w:lang w:val="en-US" w:eastAsia="zh-CN"/>
              </w:rPr>
              <w:t>二、活动</w:t>
            </w: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内容</w:t>
            </w:r>
          </w:p>
        </w:tc>
        <w:tc>
          <w:tcPr>
            <w:tcW w:w="7691" w:type="dxa"/>
            <w:gridSpan w:val="3"/>
            <w:vAlign w:val="top"/>
          </w:tcPr>
          <w:p w14:paraId="123D6C5C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  <w:t>1. 李××说课：第四章教学目标、重难点与案例选取；</w:t>
            </w:r>
          </w:p>
          <w:p w14:paraId="51C9A015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  <w:t>2. 研讨课程思政切入点；</w:t>
            </w:r>
          </w:p>
          <w:p w14:paraId="2B4C3C56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  <w:t>3. 统一作业与考核方式；</w:t>
            </w:r>
          </w:p>
          <w:p w14:paraId="6B15CFED">
            <w:pPr>
              <w:spacing w:before="30" w:after="30" w:line="320" w:lineRule="exact"/>
              <w:rPr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  <w:t>4. 确定单元测验命题分工。</w:t>
            </w:r>
          </w:p>
          <w:p w14:paraId="7CECA6AF">
            <w:pPr>
              <w:spacing w:before="30" w:after="30" w:line="320" w:lineRule="exact"/>
              <w:rPr>
                <w:sz w:val="21"/>
                <w:szCs w:val="21"/>
              </w:rPr>
            </w:pPr>
          </w:p>
          <w:p w14:paraId="7CC5BBCB">
            <w:pPr>
              <w:spacing w:before="30" w:after="30" w:line="320" w:lineRule="exact"/>
              <w:rPr>
                <w:sz w:val="21"/>
                <w:szCs w:val="21"/>
              </w:rPr>
            </w:pPr>
          </w:p>
        </w:tc>
      </w:tr>
      <w:tr w14:paraId="515E5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  <w:tblHeader/>
        </w:trPr>
        <w:tc>
          <w:tcPr>
            <w:tcW w:w="1947" w:type="dxa"/>
            <w:vAlign w:val="center"/>
          </w:tcPr>
          <w:p w14:paraId="7815B530">
            <w:pPr>
              <w:spacing w:before="30" w:after="30" w:line="32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 w:eastAsia="仿宋" w:cs="Times New Roman"/>
                <w:b/>
                <w:sz w:val="24"/>
                <w:szCs w:val="24"/>
                <w:lang w:val="en-US" w:eastAsia="zh-CN"/>
              </w:rPr>
              <w:t>三</w:t>
            </w: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、发言要点</w:t>
            </w:r>
          </w:p>
        </w:tc>
        <w:tc>
          <w:tcPr>
            <w:tcW w:w="7691" w:type="dxa"/>
            <w:gridSpan w:val="3"/>
            <w:vAlign w:val="top"/>
          </w:tcPr>
          <w:p w14:paraId="4D49F594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  <w:r>
              <w:rPr>
                <w:rFonts w:hint="eastAsia" w:eastAsia="仿宋" w:cs="Times New Roman"/>
                <w:b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  <w:t>李××：建议以贵州本土白酒品牌“××”区域市场选择为案例替换原案例；</w:t>
            </w:r>
          </w:p>
          <w:p w14:paraId="110FE514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  <w:r>
              <w:rPr>
                <w:rFonts w:hint="eastAsia" w:eastAsia="仿宋" w:cs="Times New Roman"/>
                <w:b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  <w:t>王×：思政切入点可落在“企业社会责任与市场细分中的公平”；</w:t>
            </w:r>
          </w:p>
          <w:p w14:paraId="57E91573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  <w:r>
              <w:rPr>
                <w:rFonts w:hint="eastAsia" w:eastAsia="仿宋" w:cs="Times New Roman"/>
                <w:b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  <w:t>赵××：案例数据需更新至202</w:t>
            </w:r>
            <w:r>
              <w:rPr>
                <w:rFonts w:hint="eastAsia" w:eastAsia="仿宋" w:cs="Times New Roman"/>
                <w:b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  <w:t>年度，并标注来源。</w:t>
            </w:r>
          </w:p>
          <w:p w14:paraId="4AE057DA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</w:p>
          <w:p w14:paraId="73F72B93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</w:p>
          <w:p w14:paraId="5A34A044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</w:p>
          <w:p w14:paraId="6BB24E87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</w:p>
          <w:p w14:paraId="64FD8E8A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</w:p>
          <w:p w14:paraId="77171B60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</w:p>
          <w:p w14:paraId="1E230CEB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</w:p>
        </w:tc>
      </w:tr>
      <w:tr w14:paraId="7D75B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tblHeader/>
        </w:trPr>
        <w:tc>
          <w:tcPr>
            <w:tcW w:w="1947" w:type="dxa"/>
            <w:vAlign w:val="center"/>
          </w:tcPr>
          <w:p w14:paraId="1CF7012E">
            <w:pPr>
              <w:spacing w:before="30" w:after="30" w:line="32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 w:eastAsia="仿宋" w:cs="Times New Roman"/>
                <w:b/>
                <w:sz w:val="24"/>
                <w:szCs w:val="24"/>
                <w:lang w:val="en-US" w:eastAsia="zh-CN"/>
              </w:rPr>
              <w:t>四</w:t>
            </w: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、形成的决议</w:t>
            </w:r>
          </w:p>
        </w:tc>
        <w:tc>
          <w:tcPr>
            <w:tcW w:w="7691" w:type="dxa"/>
            <w:gridSpan w:val="3"/>
            <w:vAlign w:val="top"/>
          </w:tcPr>
          <w:p w14:paraId="0A29F6F0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  <w:t>1. 统一使用××案例，李××10月20日前完成案例数据更新与课件修改；</w:t>
            </w:r>
          </w:p>
          <w:p w14:paraId="04F42917">
            <w:pPr>
              <w:spacing w:before="30" w:after="30" w:line="320" w:lineRule="exact"/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  <w:t>2. 课程思政切入点写入教案“思政目标”栏，全体任课教师执行；</w:t>
            </w:r>
          </w:p>
          <w:p w14:paraId="43A30404">
            <w:pPr>
              <w:spacing w:before="30" w:after="30" w:line="320" w:lineRule="exact"/>
              <w:rPr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b w:val="0"/>
                <w:sz w:val="21"/>
                <w:szCs w:val="21"/>
              </w:rPr>
              <w:t>3. 单元测验由赵××命题，10月25日前交教研室主任审核。</w:t>
            </w:r>
          </w:p>
        </w:tc>
      </w:tr>
      <w:tr w14:paraId="1A4F3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  <w:tblHeader/>
        </w:trPr>
        <w:tc>
          <w:tcPr>
            <w:tcW w:w="1947" w:type="dxa"/>
            <w:tcBorders>
              <w:bottom w:val="single" w:color="auto" w:sz="4" w:space="0"/>
            </w:tcBorders>
            <w:vAlign w:val="center"/>
          </w:tcPr>
          <w:p w14:paraId="29AE9F40">
            <w:pPr>
              <w:spacing w:before="30" w:after="30" w:line="320" w:lineRule="exact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四、需提交学院（部、处）或职能部门协调解决的事项</w:t>
            </w:r>
          </w:p>
        </w:tc>
        <w:tc>
          <w:tcPr>
            <w:tcW w:w="7691" w:type="dxa"/>
            <w:gridSpan w:val="3"/>
            <w:tcBorders>
              <w:bottom w:val="single" w:color="auto" w:sz="4" w:space="0"/>
            </w:tcBorders>
          </w:tcPr>
          <w:p w14:paraId="27D10E47">
            <w:pPr>
              <w:spacing w:before="30" w:after="30" w:line="320" w:lineRule="exact"/>
              <w:ind w:firstLine="420" w:firstLineChars="200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  <w:t>无。</w:t>
            </w:r>
          </w:p>
        </w:tc>
      </w:tr>
      <w:tr w14:paraId="30D56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  <w:tblHeader/>
        </w:trPr>
        <w:tc>
          <w:tcPr>
            <w:tcW w:w="194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913876A">
            <w:pPr>
              <w:spacing w:before="30" w:after="30" w:line="320" w:lineRule="exact"/>
              <w:jc w:val="left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7691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A912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2"/>
              <w:jc w:val="right"/>
              <w:textAlignment w:val="auto"/>
              <w:rPr>
                <w:rFonts w:hint="eastAsia" w:ascii="黑体" w:hAnsi="黑体" w:eastAsia="黑体" w:cs="黑体"/>
                <w:b w:val="0"/>
                <w:sz w:val="28"/>
                <w:szCs w:val="24"/>
              </w:rPr>
            </w:pPr>
          </w:p>
          <w:p w14:paraId="57108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2"/>
              <w:jc w:val="right"/>
              <w:textAlignment w:val="auto"/>
              <w:rPr>
                <w:rFonts w:hint="eastAsia" w:ascii="黑体" w:hAnsi="黑体" w:eastAsia="黑体" w:cs="黑体"/>
                <w:b w:val="0"/>
                <w:sz w:val="28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sz w:val="28"/>
                <w:szCs w:val="24"/>
              </w:rPr>
              <w:t>教研室负责人（签字）：____________</w:t>
            </w:r>
          </w:p>
          <w:p w14:paraId="5462FE26">
            <w:pPr>
              <w:spacing w:before="30" w:after="30" w:line="320" w:lineRule="exact"/>
              <w:ind w:firstLine="560" w:firstLineChars="200"/>
              <w:jc w:val="right"/>
              <w:rPr>
                <w:rFonts w:hint="eastAsia" w:ascii="仿宋" w:hAnsi="仿宋" w:eastAsia="仿宋" w:cs="仿宋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sz w:val="28"/>
                <w:szCs w:val="24"/>
              </w:rPr>
              <w:t>日期：____________</w:t>
            </w:r>
          </w:p>
        </w:tc>
      </w:tr>
    </w:tbl>
    <w:p w14:paraId="17D617BF">
      <w:pPr>
        <w:spacing w:before="0" w:after="0"/>
      </w:pPr>
    </w:p>
    <w:p w14:paraId="45682D7F">
      <w:pPr>
        <w:spacing w:before="0" w:after="0" w:line="520" w:lineRule="exact"/>
        <w:jc w:val="both"/>
        <w:rPr>
          <w:rFonts w:ascii="Times New Roman" w:hAnsi="Times New Roman" w:eastAsia="仿宋" w:cs="Times New Roman"/>
          <w:b/>
          <w:sz w:val="28"/>
          <w:szCs w:val="28"/>
        </w:rPr>
      </w:pPr>
    </w:p>
    <w:p w14:paraId="21DD7BAD">
      <w:pPr>
        <w:spacing w:before="0" w:after="0" w:line="520" w:lineRule="exact"/>
        <w:jc w:val="both"/>
        <w:rPr>
          <w:rFonts w:ascii="Times New Roman" w:hAnsi="Times New Roman" w:eastAsia="仿宋" w:cs="Times New Roman"/>
          <w:b/>
          <w:sz w:val="28"/>
          <w:szCs w:val="28"/>
        </w:rPr>
      </w:pPr>
    </w:p>
    <w:p w14:paraId="1347D1D1">
      <w:pPr>
        <w:spacing w:before="0" w:after="0" w:line="520" w:lineRule="exact"/>
        <w:jc w:val="both"/>
        <w:rPr>
          <w:rFonts w:ascii="Times New Roman" w:hAnsi="Times New Roman" w:eastAsia="仿宋" w:cs="Times New Roman"/>
          <w:b/>
          <w:sz w:val="28"/>
          <w:szCs w:val="28"/>
        </w:rPr>
      </w:pPr>
    </w:p>
    <w:p w14:paraId="0EA517A9">
      <w:pPr>
        <w:spacing w:before="0" w:after="0" w:line="520" w:lineRule="exact"/>
        <w:jc w:val="both"/>
        <w:rPr>
          <w:rFonts w:ascii="Times New Roman" w:hAnsi="Times New Roman" w:eastAsia="仿宋" w:cs="Times New Roman"/>
          <w:b/>
          <w:sz w:val="28"/>
          <w:szCs w:val="28"/>
        </w:rPr>
      </w:pPr>
    </w:p>
    <w:p w14:paraId="67CAF9BB">
      <w:pPr>
        <w:spacing w:before="0" w:after="0" w:line="520" w:lineRule="exact"/>
        <w:jc w:val="both"/>
        <w:rPr>
          <w:rFonts w:ascii="Times New Roman" w:hAnsi="Times New Roman" w:eastAsia="仿宋" w:cs="Times New Roman"/>
          <w:b/>
          <w:sz w:val="28"/>
          <w:szCs w:val="28"/>
        </w:rPr>
      </w:pPr>
    </w:p>
    <w:p w14:paraId="279D9829">
      <w:pPr>
        <w:spacing w:before="0" w:after="0" w:line="520" w:lineRule="exact"/>
        <w:jc w:val="both"/>
        <w:rPr>
          <w:rFonts w:ascii="Times New Roman" w:hAnsi="Times New Roman" w:eastAsia="仿宋" w:cs="Times New Roman"/>
          <w:b/>
          <w:sz w:val="28"/>
          <w:szCs w:val="28"/>
        </w:rPr>
      </w:pPr>
    </w:p>
    <w:p w14:paraId="74DDB730">
      <w:pPr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br w:type="page"/>
      </w:r>
    </w:p>
    <w:p w14:paraId="01533186">
      <w:pPr>
        <w:spacing w:before="0" w:after="0" w:line="520" w:lineRule="exact"/>
        <w:jc w:val="both"/>
        <w:rPr>
          <w:rFonts w:hint="eastAsia" w:eastAsia="仿宋"/>
          <w:lang w:eastAsia="zh-CN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>填表说明</w:t>
      </w:r>
      <w:r>
        <w:rPr>
          <w:rFonts w:hint="eastAsia" w:eastAsia="仿宋" w:cs="Times New Roman"/>
          <w:b/>
          <w:sz w:val="28"/>
          <w:szCs w:val="28"/>
          <w:lang w:eastAsia="zh-CN"/>
        </w:rPr>
        <w:t>：</w:t>
      </w:r>
    </w:p>
    <w:p w14:paraId="0D14E7B5">
      <w:pPr>
        <w:spacing w:before="0" w:after="40" w:line="360" w:lineRule="exact"/>
        <w:ind w:firstLine="420"/>
      </w:pPr>
      <w:r>
        <w:rPr>
          <w:rFonts w:ascii="Times New Roman" w:hAnsi="Times New Roman" w:eastAsia="仿宋" w:cs="Times New Roman"/>
          <w:b w:val="0"/>
          <w:sz w:val="21"/>
          <w:szCs w:val="21"/>
        </w:rPr>
        <w:t>1. 本表依据《贵州商学院教研室管理办法（2025年修订）》（黔商院发〔2025〕36号）及《贵州商学院教研室教研活动计划表》填表说明第6条制定，与计划表配套使用。</w:t>
      </w:r>
    </w:p>
    <w:p w14:paraId="5B256D32">
      <w:pPr>
        <w:spacing w:before="0" w:after="40" w:line="360" w:lineRule="exact"/>
        <w:ind w:firstLine="420"/>
      </w:pPr>
      <w:r>
        <w:rPr>
          <w:rFonts w:ascii="Times New Roman" w:hAnsi="Times New Roman" w:eastAsia="仿宋" w:cs="Times New Roman"/>
          <w:b w:val="0"/>
          <w:sz w:val="21"/>
          <w:szCs w:val="21"/>
        </w:rPr>
        <w:t>2. 本表由教研室主任指定专人（记录人）填写，做到“一次活动、一份记录”；活动结束后一周内经教研室主任审核签字，将扫描件PDF文档上传管理平台备案。</w:t>
      </w:r>
    </w:p>
    <w:p w14:paraId="621EFFD0">
      <w:pPr>
        <w:spacing w:before="0" w:after="40" w:line="360" w:lineRule="exact"/>
        <w:ind w:firstLine="420"/>
      </w:pPr>
      <w:r>
        <w:rPr>
          <w:rFonts w:ascii="Times New Roman" w:hAnsi="Times New Roman" w:eastAsia="仿宋" w:cs="Times New Roman"/>
          <w:b w:val="0"/>
          <w:sz w:val="21"/>
          <w:szCs w:val="21"/>
        </w:rPr>
        <w:t>3. 频次要求：每2周开展1次教研活动，学期总次数≥8次；其中集体备课≥</w:t>
      </w:r>
      <w:r>
        <w:rPr>
          <w:rFonts w:hint="eastAsia" w:eastAsia="仿宋" w:cs="Times New Roman"/>
          <w:b w:val="0"/>
          <w:sz w:val="21"/>
          <w:szCs w:val="21"/>
          <w:lang w:val="en-US" w:eastAsia="zh-CN"/>
        </w:rPr>
        <w:t>2</w:t>
      </w:r>
      <w:r>
        <w:rPr>
          <w:rFonts w:ascii="Times New Roman" w:hAnsi="Times New Roman" w:eastAsia="仿宋" w:cs="Times New Roman"/>
          <w:b w:val="0"/>
          <w:sz w:val="21"/>
          <w:szCs w:val="21"/>
        </w:rPr>
        <w:t>次／学期，公开课或观摩教学1—2次／学期，经验交流≥1次／学期，教学改革与科研类活动≥2次／月。</w:t>
      </w:r>
    </w:p>
    <w:p w14:paraId="7A0C9953">
      <w:pPr>
        <w:spacing w:before="0" w:after="40" w:line="360" w:lineRule="exact"/>
        <w:ind w:firstLine="420"/>
      </w:pPr>
      <w:r>
        <w:rPr>
          <w:rFonts w:ascii="Times New Roman" w:hAnsi="Times New Roman" w:eastAsia="仿宋" w:cs="Times New Roman"/>
          <w:b w:val="0"/>
          <w:sz w:val="21"/>
          <w:szCs w:val="21"/>
        </w:rPr>
        <w:t>4. 活动类型（与计划表一致）：①集体备课 ②公开课·观摩教学 ③经验交流 ④期初·期中·期末检查 ⑤教改·科研研讨 ⑥课程思政 ⑦数智技术融合 ⑧教研室文件制（修）订 ⑨试讲·听课评教 ⑩教材选用 ⑪师生座谈 ⑫专业建设·产教融合 ⑬命题阅卷·试卷分析 ⑭实习·毕业论文（设计）⑮青年教师培养 ⑯竞赛·项目申报 ⑰教育教学文件学习。</w:t>
      </w:r>
    </w:p>
    <w:p w14:paraId="5AD425EA">
      <w:pPr>
        <w:spacing w:before="0" w:after="40" w:line="360" w:lineRule="exact"/>
        <w:ind w:firstLine="420"/>
      </w:pPr>
      <w:r>
        <w:rPr>
          <w:rFonts w:ascii="Times New Roman" w:hAnsi="Times New Roman" w:eastAsia="仿宋" w:cs="Times New Roman"/>
          <w:b w:val="0"/>
          <w:sz w:val="21"/>
          <w:szCs w:val="21"/>
        </w:rPr>
        <w:t>5. 填写要求：写实、具体、可核查。议程写明“谁主持、谁主讲、议什么”；发言要点须点名到人、观点到事，不写“大家一致认为”等笼统表述；形成的决议须明确事项、责任人和完成时限，并与下次活动记录相衔接。</w:t>
      </w:r>
    </w:p>
    <w:p w14:paraId="14B42C86">
      <w:pPr>
        <w:spacing w:before="0" w:after="40" w:line="360" w:lineRule="exact"/>
        <w:ind w:firstLine="420"/>
      </w:pPr>
      <w:r>
        <w:rPr>
          <w:rFonts w:hint="eastAsia" w:eastAsia="仿宋" w:cs="Times New Roman"/>
          <w:b w:val="0"/>
          <w:sz w:val="21"/>
          <w:szCs w:val="21"/>
          <w:lang w:val="en-US" w:eastAsia="zh-CN"/>
        </w:rPr>
        <w:t>6</w:t>
      </w:r>
      <w:r>
        <w:rPr>
          <w:rFonts w:ascii="Times New Roman" w:hAnsi="Times New Roman" w:eastAsia="仿宋" w:cs="Times New Roman"/>
          <w:b w:val="0"/>
          <w:sz w:val="21"/>
          <w:szCs w:val="21"/>
        </w:rPr>
        <w:t>. 佐证材料：签到、活动照片</w:t>
      </w:r>
      <w:r>
        <w:rPr>
          <w:rFonts w:hint="eastAsia" w:eastAsia="仿宋" w:cs="Times New Roman"/>
          <w:b w:val="0"/>
          <w:sz w:val="21"/>
          <w:szCs w:val="21"/>
          <w:lang w:eastAsia="zh-CN"/>
        </w:rPr>
        <w:t>（</w:t>
      </w:r>
      <w:r>
        <w:rPr>
          <w:rFonts w:hint="eastAsia" w:eastAsia="仿宋" w:cs="Times New Roman"/>
          <w:b w:val="0"/>
          <w:sz w:val="21"/>
          <w:szCs w:val="21"/>
          <w:lang w:val="en-US" w:eastAsia="zh-CN"/>
        </w:rPr>
        <w:t>直接插入表中，配套解释活动现场</w:t>
      </w:r>
      <w:r>
        <w:rPr>
          <w:rFonts w:hint="eastAsia" w:eastAsia="仿宋" w:cs="Times New Roman"/>
          <w:b w:val="0"/>
          <w:sz w:val="21"/>
          <w:szCs w:val="21"/>
          <w:lang w:eastAsia="zh-CN"/>
        </w:rPr>
        <w:t>）</w:t>
      </w:r>
      <w:r>
        <w:rPr>
          <w:rFonts w:ascii="Times New Roman" w:hAnsi="Times New Roman" w:eastAsia="仿宋" w:cs="Times New Roman"/>
          <w:b w:val="0"/>
          <w:sz w:val="21"/>
          <w:szCs w:val="21"/>
        </w:rPr>
        <w:t>、教案、课件、《听课记录表》、</w:t>
      </w:r>
      <w:r>
        <w:rPr>
          <w:rFonts w:hint="eastAsia" w:eastAsia="仿宋" w:cs="Times New Roman"/>
          <w:b w:val="0"/>
          <w:sz w:val="21"/>
          <w:szCs w:val="21"/>
          <w:lang w:val="en-US" w:eastAsia="zh-CN"/>
        </w:rPr>
        <w:t>项目</w:t>
      </w:r>
      <w:r>
        <w:rPr>
          <w:rFonts w:ascii="Times New Roman" w:hAnsi="Times New Roman" w:eastAsia="仿宋" w:cs="Times New Roman"/>
          <w:b w:val="0"/>
          <w:sz w:val="21"/>
          <w:szCs w:val="21"/>
        </w:rPr>
        <w:t>申报书</w:t>
      </w:r>
      <w:r>
        <w:rPr>
          <w:rFonts w:hint="eastAsia" w:eastAsia="仿宋" w:cs="Times New Roman"/>
          <w:b w:val="0"/>
          <w:sz w:val="21"/>
          <w:szCs w:val="21"/>
          <w:lang w:eastAsia="zh-CN"/>
        </w:rPr>
        <w:t>、</w:t>
      </w:r>
      <w:r>
        <w:rPr>
          <w:rFonts w:hint="eastAsia" w:eastAsia="仿宋" w:cs="Times New Roman"/>
          <w:b w:val="0"/>
          <w:sz w:val="21"/>
          <w:szCs w:val="21"/>
          <w:lang w:val="en-US" w:eastAsia="zh-CN"/>
        </w:rPr>
        <w:t>学生竞赛方案</w:t>
      </w:r>
      <w:bookmarkStart w:id="0" w:name="_GoBack"/>
      <w:bookmarkEnd w:id="0"/>
      <w:r>
        <w:rPr>
          <w:rFonts w:ascii="Times New Roman" w:hAnsi="Times New Roman" w:eastAsia="仿宋" w:cs="Times New Roman"/>
          <w:b w:val="0"/>
          <w:sz w:val="21"/>
          <w:szCs w:val="21"/>
        </w:rPr>
        <w:t>等，随本表一并上传管理平台。</w:t>
      </w:r>
    </w:p>
    <w:p w14:paraId="4971C2EC">
      <w:pPr>
        <w:spacing w:before="0" w:after="40" w:line="360" w:lineRule="exact"/>
        <w:ind w:firstLine="420"/>
      </w:pPr>
      <w:r>
        <w:rPr>
          <w:rFonts w:hint="eastAsia" w:eastAsia="仿宋" w:cs="Times New Roman"/>
          <w:b w:val="0"/>
          <w:sz w:val="21"/>
          <w:szCs w:val="21"/>
          <w:lang w:val="en-US" w:eastAsia="zh-CN"/>
        </w:rPr>
        <w:t>7</w:t>
      </w:r>
      <w:r>
        <w:rPr>
          <w:rFonts w:ascii="Times New Roman" w:hAnsi="Times New Roman" w:eastAsia="仿宋" w:cs="Times New Roman"/>
          <w:b w:val="0"/>
          <w:sz w:val="21"/>
          <w:szCs w:val="21"/>
        </w:rPr>
        <w:t>. 涉及新教师上课、教师上新课的试讲活动，须在“形成的决议”栏写明考评结论，并由二级学院报教务处备案；试讲合格者方可安排教学任务（《办法》第十三条）。</w:t>
      </w:r>
    </w:p>
    <w:sectPr>
      <w:footerReference r:id="rId5" w:type="default"/>
      <w:pgSz w:w="11906" w:h="16838"/>
      <w:pgMar w:top="1440" w:right="1134" w:bottom="1440" w:left="1134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A8D7E9-94D6-4A16-A492-DB77EDAAD7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BE386924-8EFA-45C9-9768-973224BB02A3}"/>
  </w:font>
  <w:font w:name="ＭＳ 明朝">
    <w:altName w:val="仓耳渔阳体 W04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渔阳体 W04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1D4E85CA-98AD-49A2-92DD-43C6ECDAD264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A181B47-9FE7-42C7-B05E-FA63362488C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EA7B5143-CCDE-4E69-95F5-A262A3CE275E}"/>
  </w:font>
  <w:font w:name="ＭＳ 明朝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BD3464D3-1C42-463A-B75A-51A7DAA72AC9}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B7084">
    <w:pPr>
      <w:pStyle w:val="24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5080000</wp:posOffset>
              </wp:positionH>
              <wp:positionV relativeFrom="paragraph">
                <wp:posOffset>-158750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F0A5BE">
                          <w:pPr>
                            <w:pStyle w:val="24"/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t>6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00pt;margin-top:-12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MgRSfTFRiu0&#10;+3ZgsDfFGcSc6SfDW76pkXzLfHhgDqOAgvFYwj2WUhokMYNFSWXcl3+dx3h0CF5KGoxWTjVeEiXy&#10;vUbnABhGw43GfjT0Ud0ZzCq6gVo6ExdckKNZOqM+4wWtYg64mObIlNMwmnehH2+8QC5Wqy7oaF19&#10;qPoLmDvLwlbvLI9ponrero4BYnYaR4F6VQbdMHldl4ZXEkf7z30X9fhnWP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9Z4IPtgAAAAMAQAADwAAAAAAAAABACAAAAAiAAAAZHJzL2Rvd25yZXYueG1s&#10;UEsBAhQAFAAAAAgAh07iQGuF+fs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F0A5BE">
                    <w:pPr>
                      <w:pStyle w:val="24"/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t>6</w:t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B77F8"/>
    <w:rsid w:val="00AA1D8D"/>
    <w:rsid w:val="00B47730"/>
    <w:rsid w:val="00CB0664"/>
    <w:rsid w:val="00FC693F"/>
    <w:rsid w:val="0114696D"/>
    <w:rsid w:val="019B6B2F"/>
    <w:rsid w:val="022B099C"/>
    <w:rsid w:val="02850702"/>
    <w:rsid w:val="0587314F"/>
    <w:rsid w:val="059F0E35"/>
    <w:rsid w:val="06D84848"/>
    <w:rsid w:val="0743123D"/>
    <w:rsid w:val="08020AB2"/>
    <w:rsid w:val="089B6610"/>
    <w:rsid w:val="09BA2AC6"/>
    <w:rsid w:val="0B287FDA"/>
    <w:rsid w:val="0CA352C8"/>
    <w:rsid w:val="0EDB61ED"/>
    <w:rsid w:val="0F046CBD"/>
    <w:rsid w:val="12407894"/>
    <w:rsid w:val="12FD7F36"/>
    <w:rsid w:val="13F21748"/>
    <w:rsid w:val="15BC4236"/>
    <w:rsid w:val="190300A7"/>
    <w:rsid w:val="1AC00251"/>
    <w:rsid w:val="1B186F81"/>
    <w:rsid w:val="1B8003C8"/>
    <w:rsid w:val="1C7F7983"/>
    <w:rsid w:val="1DE11D1C"/>
    <w:rsid w:val="1EDD4465"/>
    <w:rsid w:val="1FD62D47"/>
    <w:rsid w:val="20126D60"/>
    <w:rsid w:val="207F7CDD"/>
    <w:rsid w:val="208F03B0"/>
    <w:rsid w:val="2095003E"/>
    <w:rsid w:val="20C547DB"/>
    <w:rsid w:val="2149055F"/>
    <w:rsid w:val="21B438F6"/>
    <w:rsid w:val="22405E06"/>
    <w:rsid w:val="23FF3509"/>
    <w:rsid w:val="24346546"/>
    <w:rsid w:val="243674C1"/>
    <w:rsid w:val="26A93FFA"/>
    <w:rsid w:val="275171CB"/>
    <w:rsid w:val="27706F5D"/>
    <w:rsid w:val="2818185A"/>
    <w:rsid w:val="289E5635"/>
    <w:rsid w:val="2A750617"/>
    <w:rsid w:val="2AAC14E1"/>
    <w:rsid w:val="2BDB26FC"/>
    <w:rsid w:val="2BF74C58"/>
    <w:rsid w:val="2CCC0D0C"/>
    <w:rsid w:val="2D031F0A"/>
    <w:rsid w:val="2DE95C61"/>
    <w:rsid w:val="2EA26A53"/>
    <w:rsid w:val="325A5B10"/>
    <w:rsid w:val="33266952"/>
    <w:rsid w:val="335A484E"/>
    <w:rsid w:val="33B17CDB"/>
    <w:rsid w:val="348E4CCD"/>
    <w:rsid w:val="364F496B"/>
    <w:rsid w:val="38196915"/>
    <w:rsid w:val="3B436010"/>
    <w:rsid w:val="3C62051E"/>
    <w:rsid w:val="3E164321"/>
    <w:rsid w:val="409C790E"/>
    <w:rsid w:val="40CF35E1"/>
    <w:rsid w:val="41384420"/>
    <w:rsid w:val="418F0497"/>
    <w:rsid w:val="41CB1C3E"/>
    <w:rsid w:val="41D8176C"/>
    <w:rsid w:val="437B23A2"/>
    <w:rsid w:val="452F2C10"/>
    <w:rsid w:val="45AF4585"/>
    <w:rsid w:val="4628024F"/>
    <w:rsid w:val="48D74C90"/>
    <w:rsid w:val="4AF074FE"/>
    <w:rsid w:val="4CF02842"/>
    <w:rsid w:val="501857E4"/>
    <w:rsid w:val="508E3FB7"/>
    <w:rsid w:val="50E67EC9"/>
    <w:rsid w:val="56052DAF"/>
    <w:rsid w:val="56EF622F"/>
    <w:rsid w:val="593C3876"/>
    <w:rsid w:val="59856FA6"/>
    <w:rsid w:val="5A9F319E"/>
    <w:rsid w:val="5BD743DE"/>
    <w:rsid w:val="5CEB1EEF"/>
    <w:rsid w:val="5D0732B7"/>
    <w:rsid w:val="5D5F6439"/>
    <w:rsid w:val="5FDD570E"/>
    <w:rsid w:val="61E82EA1"/>
    <w:rsid w:val="62C52DD2"/>
    <w:rsid w:val="63D538F9"/>
    <w:rsid w:val="67CE1AF2"/>
    <w:rsid w:val="68030431"/>
    <w:rsid w:val="699E3A55"/>
    <w:rsid w:val="6C031950"/>
    <w:rsid w:val="6CB35E7D"/>
    <w:rsid w:val="6D080EB4"/>
    <w:rsid w:val="6D473557"/>
    <w:rsid w:val="6EC453F1"/>
    <w:rsid w:val="70555CD6"/>
    <w:rsid w:val="72BF1FCE"/>
    <w:rsid w:val="72EB4117"/>
    <w:rsid w:val="73CA43E3"/>
    <w:rsid w:val="73F20825"/>
    <w:rsid w:val="77D67AA8"/>
    <w:rsid w:val="77F9103D"/>
    <w:rsid w:val="791E4FA3"/>
    <w:rsid w:val="79E930D1"/>
    <w:rsid w:val="7A22766D"/>
    <w:rsid w:val="7A5C410A"/>
    <w:rsid w:val="7A6C2327"/>
    <w:rsid w:val="7B9337D7"/>
    <w:rsid w:val="7C373272"/>
    <w:rsid w:val="7CE57515"/>
    <w:rsid w:val="7D9D234E"/>
    <w:rsid w:val="7DC66335"/>
    <w:rsid w:val="7E3C2E90"/>
    <w:rsid w:val="7EF2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思源黑体" w:cs="Times New Roman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2"/>
      <w:szCs w:val="32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1144</Words>
  <Characters>1244</Characters>
  <Lines>0</Lines>
  <Paragraphs>0</Paragraphs>
  <TotalTime>0</TotalTime>
  <ScaleCrop>false</ScaleCrop>
  <LinksUpToDate>false</LinksUpToDate>
  <CharactersWithSpaces>1283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唐明贵</cp:lastModifiedBy>
  <cp:lastPrinted>2026-09-28T07:39:09Z</cp:lastPrinted>
  <dcterms:modified xsi:type="dcterms:W3CDTF">2026-09-28T07:45:47Z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{"Label":"1","ContentProducer":"001191440300708461136T1WFUO","ProduceID":"57ddf63843f5f5847e16f20f66abf409-mSwO","ReservedCode1":"{\"Type\":\" TC260PG\",\"Version\":1,\"Bindings\":[{\"Type\":\"soft\",\"AlgID\":\"sm3\",\"Value\":\"08bfb67b8bc9f3a84b0ae787b334b371a3146e8fcf825896659c2a3455b7af77\"},{\"Type\":\"hash\",\"AlgID\":\"sm3\",\"Value\":\"89075420e2fe58baa0813e83e812347bc6bcf791597577deed6148e464b6f2d9\"}],\"PubSD\":[{\"Type\":\"DS\",\"AlgID\":\"sm2\",\"TBSData\":{\"Type\":\"Binding\",\"BType\":\"hash\"},\"Signature\":\"30460221008b2f90a6a1ed00b452f95e43aa13cb4541bec51f1c7c365d7083f1f799800df0022100e9a0e8d0602ce34cf97ebc263f1617467accdcd907fd14c4b13a2dc03cdad6c0\"},{\"Type\":\"PubKey\",\"AlgID\":\"sm2\",\"KeyValue\":\"0407f79b28a17a752b3aae4305c98b48978213832729a2571850b1310b2bc9fe8fee039ccf25ebfeac27502414d9fcef792d777183c98893d226171c2f7a3289a2\"}],\"Extension\":{\"Timestamp\":1790144906,\"KeyVersion\":\"v1-TxLeOmf7bqU223\"}}","ContentPropagator":"001191440300708461136T1WFUO","PropagateID":"57ddf63843f5f5847e16f20f66abf409-mSwO","ReservedCode2":"{\"Type\":\" TC260PG\",\"Version\":1,\"Bindings\":[{\"Type\":\"soft\",\"AlgID\":\"sm3\",\"Value\":\"08bfb67b8bc9f3a84b0ae787b334b371a3146e8fcf825896659c2a3455b7af77\"},{\"Type\":\"hash\",\"AlgID\":\"sm3\",\"Value\":\"89075420e2fe58baa0813e83e812347bc6bcf791597577deed6148e464b6f2d9\"}],\"PubSD\":[{\"Type\":\"DS\",\"AlgID\":\"sm2\",\"TBSData\":{\"Type\":\"Binding\",\"BType\":\"hash\"},\"Signature\":\"3046022100ccac3e31478c6a318f47971b099c432c72d210a77b0f0ba353eb7ed4ef6af0fc022100ea52b3b0094b28585ac5d2d211573c93dcccb7cb71599a72f9c266f8c38d7abf\"},{\"Type\":\"PubKey\",\"AlgID\":\"sm2\",\"KeyValue\":\"0407f79b28a17a752b3aae4305c98b48978213832729a2571850b1310b2bc9fe8fee039ccf25ebfeac27502414d9fcef792d777183c98893d226171c2f7a3289a2\"}],\"Extension\":{\"Timestamp\":1790144906,\"KeyVersion\":\"v1-TxLeOmf7bqU223\"}}"}</vt:lpwstr>
  </property>
  <property fmtid="{D5CDD505-2E9C-101B-9397-08002B2CF9AE}" pid="3" name="KSOTemplateDocerSaveRecord">
    <vt:lpwstr>eyJoZGlkIjoiNjc0MDE4MWYwN2MxNzlkMmIwYmI1MzRhZDFlYzA4MzIiLCJ1c2VySWQiOiIxOTAyMjM0OTcifQ==</vt:lpwstr>
  </property>
  <property fmtid="{D5CDD505-2E9C-101B-9397-08002B2CF9AE}" pid="4" name="KSOProductBuildVer">
    <vt:lpwstr>2052-12.1.0.28505</vt:lpwstr>
  </property>
  <property fmtid="{D5CDD505-2E9C-101B-9397-08002B2CF9AE}" pid="5" name="ICV">
    <vt:lpwstr>B6F4762F91B944FB930A8A49A9782326_13</vt:lpwstr>
  </property>
</Properties>
</file>